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55A7" w14:textId="64FDFED5" w:rsidR="00B33255" w:rsidRPr="00DF79B2" w:rsidRDefault="008F4207" w:rsidP="00E13A0C">
      <w:pPr>
        <w:spacing w:after="80"/>
        <w:jc w:val="both"/>
        <w:rPr>
          <w:b/>
          <w:bCs/>
          <w:color w:val="00768A"/>
          <w:sz w:val="32"/>
          <w:szCs w:val="32"/>
        </w:rPr>
      </w:pPr>
      <w:r w:rsidRPr="00DF79B2">
        <w:rPr>
          <w:b/>
          <w:bCs/>
          <w:color w:val="00768A"/>
          <w:sz w:val="32"/>
          <w:szCs w:val="32"/>
        </w:rPr>
        <w:t>Assessment at Waterton Academy Trust</w:t>
      </w:r>
    </w:p>
    <w:p w14:paraId="2AE1E18D" w14:textId="3696A4CF" w:rsidR="009559D4" w:rsidRPr="00DF79B2" w:rsidRDefault="008F4207" w:rsidP="009E0988">
      <w:pPr>
        <w:spacing w:after="240" w:line="264" w:lineRule="auto"/>
        <w:jc w:val="both"/>
        <w:rPr>
          <w:b/>
          <w:bCs/>
          <w:color w:val="00768A"/>
          <w:sz w:val="26"/>
          <w:szCs w:val="26"/>
        </w:rPr>
      </w:pPr>
      <w:r w:rsidRPr="00DF79B2">
        <w:rPr>
          <w:b/>
          <w:bCs/>
          <w:color w:val="00768A"/>
          <w:sz w:val="26"/>
          <w:szCs w:val="26"/>
        </w:rPr>
        <w:t>Information for parents and carers</w:t>
      </w:r>
    </w:p>
    <w:p w14:paraId="0EEF1300" w14:textId="3EDB264F" w:rsidR="008F4207" w:rsidRPr="00BF5A8C" w:rsidRDefault="009559D4" w:rsidP="009E0988">
      <w:pPr>
        <w:spacing w:after="120" w:line="264" w:lineRule="auto"/>
        <w:jc w:val="both"/>
        <w:rPr>
          <w:sz w:val="22"/>
          <w:szCs w:val="22"/>
        </w:rPr>
      </w:pPr>
      <w:r w:rsidRPr="00BF5A8C">
        <w:rPr>
          <w:sz w:val="22"/>
          <w:szCs w:val="22"/>
        </w:rPr>
        <w:t>As of this academic year, we have made some adjustments to our assessment system across the trust. The key changes are:</w:t>
      </w:r>
    </w:p>
    <w:p w14:paraId="6FC9BCE5" w14:textId="1FEB5493" w:rsidR="009559D4" w:rsidRPr="00BF5A8C" w:rsidRDefault="009559D4" w:rsidP="009E0988">
      <w:pPr>
        <w:pStyle w:val="ListParagraph"/>
        <w:numPr>
          <w:ilvl w:val="0"/>
          <w:numId w:val="1"/>
        </w:numPr>
        <w:spacing w:after="120" w:line="264" w:lineRule="auto"/>
        <w:jc w:val="both"/>
        <w:rPr>
          <w:sz w:val="22"/>
          <w:szCs w:val="22"/>
        </w:rPr>
      </w:pPr>
      <w:r w:rsidRPr="00BF5A8C">
        <w:rPr>
          <w:sz w:val="22"/>
          <w:szCs w:val="22"/>
        </w:rPr>
        <w:t xml:space="preserve">The </w:t>
      </w:r>
      <w:r w:rsidRPr="00BF5A8C">
        <w:rPr>
          <w:b/>
          <w:bCs/>
          <w:i/>
          <w:iCs/>
          <w:sz w:val="22"/>
          <w:szCs w:val="22"/>
        </w:rPr>
        <w:t>Greater Depth</w:t>
      </w:r>
      <w:r w:rsidRPr="00BF5A8C">
        <w:rPr>
          <w:sz w:val="22"/>
          <w:szCs w:val="22"/>
        </w:rPr>
        <w:t xml:space="preserve"> judgement will no longer be used in Key Stage 1</w:t>
      </w:r>
    </w:p>
    <w:p w14:paraId="68B3D8B6" w14:textId="05E6B95F" w:rsidR="009559D4" w:rsidRPr="00BF5A8C" w:rsidRDefault="009559D4" w:rsidP="009E0988">
      <w:pPr>
        <w:pStyle w:val="ListParagraph"/>
        <w:numPr>
          <w:ilvl w:val="0"/>
          <w:numId w:val="1"/>
        </w:numPr>
        <w:spacing w:after="120" w:line="264" w:lineRule="auto"/>
        <w:jc w:val="both"/>
        <w:rPr>
          <w:sz w:val="22"/>
          <w:szCs w:val="22"/>
        </w:rPr>
      </w:pPr>
      <w:r w:rsidRPr="00BF5A8C">
        <w:rPr>
          <w:sz w:val="22"/>
          <w:szCs w:val="22"/>
        </w:rPr>
        <w:t xml:space="preserve">The </w:t>
      </w:r>
      <w:r w:rsidRPr="00BF5A8C">
        <w:rPr>
          <w:b/>
          <w:bCs/>
          <w:i/>
          <w:iCs/>
          <w:sz w:val="22"/>
          <w:szCs w:val="22"/>
        </w:rPr>
        <w:t>Greater Depth</w:t>
      </w:r>
      <w:r w:rsidRPr="00BF5A8C">
        <w:rPr>
          <w:sz w:val="22"/>
          <w:szCs w:val="22"/>
        </w:rPr>
        <w:t xml:space="preserve"> judgement will no longer be used in writing in Years 3, 4 &amp; 5</w:t>
      </w:r>
    </w:p>
    <w:p w14:paraId="1761ED37" w14:textId="050D37E7" w:rsidR="009559D4" w:rsidRPr="00BF5A8C" w:rsidRDefault="009559D4" w:rsidP="009E0988">
      <w:pPr>
        <w:pStyle w:val="ListParagraph"/>
        <w:numPr>
          <w:ilvl w:val="0"/>
          <w:numId w:val="1"/>
        </w:numPr>
        <w:spacing w:after="120" w:line="264" w:lineRule="auto"/>
        <w:jc w:val="both"/>
        <w:rPr>
          <w:sz w:val="22"/>
          <w:szCs w:val="22"/>
        </w:rPr>
      </w:pPr>
      <w:r w:rsidRPr="00BF5A8C">
        <w:rPr>
          <w:sz w:val="22"/>
          <w:szCs w:val="22"/>
        </w:rPr>
        <w:t>The written assessments completed in Years 3, 4 &amp; 5 have changed and are now more in line with the end of Key Stage 2 SATs</w:t>
      </w:r>
    </w:p>
    <w:p w14:paraId="4942C33E" w14:textId="77777777" w:rsidR="009559D4" w:rsidRDefault="009559D4" w:rsidP="009E0988">
      <w:pPr>
        <w:spacing w:after="120" w:line="264" w:lineRule="auto"/>
        <w:jc w:val="both"/>
        <w:rPr>
          <w:b/>
          <w:bCs/>
        </w:rPr>
      </w:pPr>
    </w:p>
    <w:p w14:paraId="43B50BB5" w14:textId="55055961" w:rsidR="009559D4" w:rsidRPr="009559D4" w:rsidRDefault="009559D4" w:rsidP="009E0988">
      <w:pPr>
        <w:pStyle w:val="Heading1"/>
        <w:spacing w:line="264" w:lineRule="auto"/>
        <w:jc w:val="both"/>
      </w:pPr>
      <w:r w:rsidRPr="009559D4">
        <w:t xml:space="preserve">Key </w:t>
      </w:r>
      <w:r w:rsidRPr="004453E3">
        <w:t>Stage</w:t>
      </w:r>
      <w:r w:rsidRPr="009559D4">
        <w:t xml:space="preserve"> 1</w:t>
      </w:r>
    </w:p>
    <w:p w14:paraId="56B2CAAB" w14:textId="477B01EA" w:rsidR="009559D4" w:rsidRPr="009559D4" w:rsidRDefault="009559D4" w:rsidP="009E0988">
      <w:pPr>
        <w:pStyle w:val="Heading2"/>
        <w:spacing w:line="264" w:lineRule="auto"/>
        <w:jc w:val="both"/>
      </w:pPr>
      <w:r w:rsidRPr="009559D4">
        <w:t>Why we’ve made this change</w:t>
      </w:r>
    </w:p>
    <w:p w14:paraId="63DC7E63" w14:textId="3735B679" w:rsidR="009559D4" w:rsidRPr="00BF5A8C" w:rsidRDefault="009559D4" w:rsidP="009E0988">
      <w:pPr>
        <w:spacing w:after="120" w:line="264" w:lineRule="auto"/>
        <w:jc w:val="both"/>
        <w:rPr>
          <w:sz w:val="22"/>
          <w:szCs w:val="22"/>
        </w:rPr>
      </w:pPr>
      <w:r w:rsidRPr="00BF5A8C">
        <w:rPr>
          <w:sz w:val="22"/>
          <w:szCs w:val="22"/>
        </w:rPr>
        <w:t>This change reflects national findings, not a</w:t>
      </w:r>
      <w:r w:rsidR="00BF5A8C">
        <w:rPr>
          <w:sz w:val="22"/>
          <w:szCs w:val="22"/>
        </w:rPr>
        <w:t xml:space="preserve">n </w:t>
      </w:r>
      <w:r w:rsidRPr="00BF5A8C">
        <w:rPr>
          <w:sz w:val="22"/>
          <w:szCs w:val="22"/>
        </w:rPr>
        <w:t>issue</w:t>
      </w:r>
      <w:r w:rsidR="00BF5A8C">
        <w:rPr>
          <w:sz w:val="22"/>
          <w:szCs w:val="22"/>
        </w:rPr>
        <w:t xml:space="preserve"> specific to the schools in our trust</w:t>
      </w:r>
      <w:r w:rsidRPr="00BF5A8C">
        <w:rPr>
          <w:sz w:val="22"/>
          <w:szCs w:val="22"/>
        </w:rPr>
        <w:t>.</w:t>
      </w:r>
      <w:r w:rsidR="00BF5A8C">
        <w:rPr>
          <w:sz w:val="22"/>
          <w:szCs w:val="22"/>
        </w:rPr>
        <w:t xml:space="preserve"> </w:t>
      </w:r>
      <w:r w:rsidRPr="00BF5A8C">
        <w:rPr>
          <w:sz w:val="22"/>
          <w:szCs w:val="22"/>
        </w:rPr>
        <w:t>Across the country, “greater depth” judg</w:t>
      </w:r>
      <w:r w:rsidR="00BF5A8C">
        <w:rPr>
          <w:sz w:val="22"/>
          <w:szCs w:val="22"/>
        </w:rPr>
        <w:t>e</w:t>
      </w:r>
      <w:r w:rsidRPr="00BF5A8C">
        <w:rPr>
          <w:sz w:val="22"/>
          <w:szCs w:val="22"/>
        </w:rPr>
        <w:t xml:space="preserve">ments at Key Stage 1 have </w:t>
      </w:r>
      <w:r w:rsidR="00BF5A8C" w:rsidRPr="00BF5A8C">
        <w:rPr>
          <w:sz w:val="22"/>
          <w:szCs w:val="22"/>
        </w:rPr>
        <w:t>historically proven to be</w:t>
      </w:r>
      <w:r w:rsidRPr="00BF5A8C">
        <w:rPr>
          <w:sz w:val="22"/>
          <w:szCs w:val="22"/>
        </w:rPr>
        <w:t xml:space="preserve"> inconsistent, with different schools and local authorities interpreting them in different ways. National moderation has shown that </w:t>
      </w:r>
      <w:r w:rsidRPr="00BF5A8C">
        <w:rPr>
          <w:i/>
          <w:iCs/>
          <w:sz w:val="22"/>
          <w:szCs w:val="22"/>
        </w:rPr>
        <w:t>“working at the expected standard”</w:t>
      </w:r>
      <w:r w:rsidRPr="00BF5A8C">
        <w:rPr>
          <w:sz w:val="22"/>
          <w:szCs w:val="22"/>
        </w:rPr>
        <w:t xml:space="preserve"> is the most secure and reliable measure of attainment.</w:t>
      </w:r>
    </w:p>
    <w:p w14:paraId="3DBA8080" w14:textId="4FE68653" w:rsidR="009559D4" w:rsidRPr="00BF5A8C" w:rsidRDefault="009559D4" w:rsidP="009E0988">
      <w:pPr>
        <w:spacing w:after="120" w:line="264" w:lineRule="auto"/>
        <w:jc w:val="both"/>
        <w:rPr>
          <w:sz w:val="22"/>
          <w:szCs w:val="22"/>
        </w:rPr>
      </w:pPr>
      <w:r w:rsidRPr="00BF5A8C">
        <w:rPr>
          <w:sz w:val="22"/>
          <w:szCs w:val="22"/>
        </w:rPr>
        <w:t xml:space="preserve">Because Key Stage 1 assessment is now </w:t>
      </w:r>
      <w:r w:rsidRPr="00BF5A8C">
        <w:rPr>
          <w:b/>
          <w:bCs/>
          <w:sz w:val="22"/>
          <w:szCs w:val="22"/>
        </w:rPr>
        <w:t>optional</w:t>
      </w:r>
      <w:r w:rsidRPr="00BF5A8C">
        <w:rPr>
          <w:sz w:val="22"/>
          <w:szCs w:val="22"/>
        </w:rPr>
        <w:t xml:space="preserve"> and </w:t>
      </w:r>
      <w:r w:rsidRPr="00BF5A8C">
        <w:rPr>
          <w:b/>
          <w:bCs/>
          <w:sz w:val="22"/>
          <w:szCs w:val="22"/>
        </w:rPr>
        <w:t>no longer externally moderated</w:t>
      </w:r>
      <w:r w:rsidRPr="00BF5A8C">
        <w:rPr>
          <w:sz w:val="22"/>
          <w:szCs w:val="22"/>
        </w:rPr>
        <w:t xml:space="preserve">, we believe it is fairer and more meaningful to focus on the </w:t>
      </w:r>
      <w:r w:rsidRPr="00BF5A8C">
        <w:rPr>
          <w:b/>
          <w:bCs/>
          <w:sz w:val="22"/>
          <w:szCs w:val="22"/>
        </w:rPr>
        <w:t>expected standard</w:t>
      </w:r>
      <w:r w:rsidRPr="00BF5A8C">
        <w:rPr>
          <w:sz w:val="22"/>
          <w:szCs w:val="22"/>
        </w:rPr>
        <w:t>, where teachers can be confident their judg</w:t>
      </w:r>
      <w:r w:rsidR="00BF5A8C">
        <w:rPr>
          <w:sz w:val="22"/>
          <w:szCs w:val="22"/>
        </w:rPr>
        <w:t>e</w:t>
      </w:r>
      <w:r w:rsidRPr="00BF5A8C">
        <w:rPr>
          <w:sz w:val="22"/>
          <w:szCs w:val="22"/>
        </w:rPr>
        <w:t xml:space="preserve">ments are consistent with </w:t>
      </w:r>
      <w:r w:rsidR="009A174A" w:rsidRPr="009A174A">
        <w:rPr>
          <w:sz w:val="22"/>
          <w:szCs w:val="22"/>
        </w:rPr>
        <w:t>those made</w:t>
      </w:r>
      <w:r w:rsidR="009A174A">
        <w:rPr>
          <w:sz w:val="22"/>
          <w:szCs w:val="22"/>
        </w:rPr>
        <w:t xml:space="preserve"> </w:t>
      </w:r>
      <w:r w:rsidRPr="00BF5A8C">
        <w:rPr>
          <w:sz w:val="22"/>
          <w:szCs w:val="22"/>
        </w:rPr>
        <w:t>nationally.</w:t>
      </w:r>
    </w:p>
    <w:p w14:paraId="501A5095" w14:textId="77777777" w:rsidR="00BF5A8C" w:rsidRDefault="00BF5A8C" w:rsidP="009E0988">
      <w:pPr>
        <w:pStyle w:val="Heading2"/>
        <w:spacing w:line="264" w:lineRule="auto"/>
        <w:jc w:val="both"/>
      </w:pPr>
      <w:r>
        <w:t>What this means for your child</w:t>
      </w:r>
    </w:p>
    <w:p w14:paraId="460DAA6C" w14:textId="77777777" w:rsidR="009E0988" w:rsidRDefault="00D35BD0" w:rsidP="009E0988">
      <w:pPr>
        <w:spacing w:after="120" w:line="264" w:lineRule="auto"/>
        <w:jc w:val="both"/>
        <w:rPr>
          <w:sz w:val="22"/>
          <w:szCs w:val="22"/>
        </w:rPr>
      </w:pPr>
      <w:r w:rsidRPr="00D35BD0">
        <w:rPr>
          <w:sz w:val="22"/>
          <w:szCs w:val="22"/>
        </w:rPr>
        <w:t xml:space="preserve">Removing the “greater depth” label does not lower expectations or limit progress. Instead, it allows teachers to focus on </w:t>
      </w:r>
      <w:r w:rsidRPr="00D35BD0">
        <w:rPr>
          <w:b/>
          <w:bCs/>
          <w:sz w:val="22"/>
          <w:szCs w:val="22"/>
        </w:rPr>
        <w:t>deepening learning</w:t>
      </w:r>
      <w:r w:rsidRPr="00D35BD0">
        <w:rPr>
          <w:sz w:val="22"/>
          <w:szCs w:val="22"/>
        </w:rPr>
        <w:t xml:space="preserve"> rather than working through a small set of additional tick-box criteria.</w:t>
      </w:r>
      <w:r>
        <w:rPr>
          <w:sz w:val="22"/>
          <w:szCs w:val="22"/>
        </w:rPr>
        <w:t xml:space="preserve"> </w:t>
      </w:r>
      <w:r w:rsidRPr="00D35BD0">
        <w:rPr>
          <w:sz w:val="22"/>
          <w:szCs w:val="22"/>
        </w:rPr>
        <w:t>Children who grasp ideas quickly will continue to be challenged through richer tasks — for example, exploring more complex texts, tackling multi-step problems, explaining their reasoning, and applying their learning in new contexts. The expected standard is not a cap on learning.</w:t>
      </w:r>
    </w:p>
    <w:p w14:paraId="6A156494" w14:textId="2EF9F3E0" w:rsidR="00021A37" w:rsidRDefault="00BF5A8C" w:rsidP="009E0988">
      <w:pPr>
        <w:spacing w:after="120" w:line="264" w:lineRule="auto"/>
        <w:jc w:val="both"/>
        <w:rPr>
          <w:sz w:val="22"/>
          <w:szCs w:val="22"/>
        </w:rPr>
      </w:pPr>
      <w:r w:rsidRPr="00BF5A8C">
        <w:rPr>
          <w:sz w:val="22"/>
          <w:szCs w:val="22"/>
        </w:rPr>
        <w:t xml:space="preserve">Our aim is for every pupil to </w:t>
      </w:r>
      <w:r w:rsidRPr="00BF5A8C">
        <w:rPr>
          <w:b/>
          <w:bCs/>
          <w:sz w:val="22"/>
          <w:szCs w:val="22"/>
        </w:rPr>
        <w:t>master core skills securely</w:t>
      </w:r>
      <w:r w:rsidRPr="00BF5A8C">
        <w:rPr>
          <w:sz w:val="22"/>
          <w:szCs w:val="22"/>
        </w:rPr>
        <w:t xml:space="preserve"> and develop a deeper understanding of what they learn.</w:t>
      </w:r>
      <w:r>
        <w:rPr>
          <w:sz w:val="22"/>
          <w:szCs w:val="22"/>
        </w:rPr>
        <w:t xml:space="preserve"> </w:t>
      </w:r>
      <w:r w:rsidRPr="00BF5A8C">
        <w:rPr>
          <w:sz w:val="22"/>
          <w:szCs w:val="22"/>
        </w:rPr>
        <w:t xml:space="preserve">This strong foundation prepares them to flourish in Key Stage 2, where “greater depth” is clearly defined and </w:t>
      </w:r>
      <w:r w:rsidR="00D674C4" w:rsidRPr="00D674C4">
        <w:rPr>
          <w:sz w:val="22"/>
          <w:szCs w:val="22"/>
        </w:rPr>
        <w:t>assessed consistently at the end of primary school.</w:t>
      </w:r>
    </w:p>
    <w:p w14:paraId="6D287FF4" w14:textId="77777777" w:rsidR="00D674C4" w:rsidRDefault="00D674C4" w:rsidP="009E0988">
      <w:pPr>
        <w:spacing w:after="120" w:line="264" w:lineRule="auto"/>
        <w:jc w:val="both"/>
        <w:rPr>
          <w:sz w:val="22"/>
          <w:szCs w:val="22"/>
        </w:rPr>
      </w:pPr>
    </w:p>
    <w:p w14:paraId="2FE1D19E" w14:textId="7903F3C1" w:rsidR="00021A37" w:rsidRDefault="00021A37" w:rsidP="009E0988">
      <w:pPr>
        <w:pStyle w:val="Heading1"/>
        <w:spacing w:line="264" w:lineRule="auto"/>
        <w:jc w:val="both"/>
      </w:pPr>
      <w:r>
        <w:t>Ke</w:t>
      </w:r>
      <w:r w:rsidR="00DE626E">
        <w:t>y Stage 2</w:t>
      </w:r>
    </w:p>
    <w:p w14:paraId="2386FB21" w14:textId="2B84AB36" w:rsidR="00DE626E" w:rsidRDefault="00DE626E" w:rsidP="009E0988">
      <w:pPr>
        <w:pStyle w:val="Heading2"/>
        <w:spacing w:line="264" w:lineRule="auto"/>
        <w:jc w:val="both"/>
      </w:pPr>
      <w:r>
        <w:t>Writing in Years 3, 4 &amp; 5</w:t>
      </w:r>
    </w:p>
    <w:p w14:paraId="142B3D40" w14:textId="340A6A65" w:rsidR="00486016" w:rsidRDefault="00E13A0C" w:rsidP="009E0988">
      <w:pPr>
        <w:spacing w:after="120" w:line="264" w:lineRule="auto"/>
        <w:jc w:val="both"/>
        <w:rPr>
          <w:sz w:val="22"/>
          <w:szCs w:val="22"/>
        </w:rPr>
      </w:pPr>
      <w:r w:rsidRPr="0021798E">
        <w:rPr>
          <w:sz w:val="22"/>
          <w:szCs w:val="22"/>
        </w:rPr>
        <w:t xml:space="preserve">In Years 3, 4 and 5, we no longer use the term “greater depth” for writing. This is because there are </w:t>
      </w:r>
      <w:r w:rsidRPr="0021798E">
        <w:rPr>
          <w:b/>
          <w:bCs/>
          <w:i/>
          <w:iCs/>
          <w:sz w:val="22"/>
          <w:szCs w:val="22"/>
        </w:rPr>
        <w:t>no nationally agreed criteria</w:t>
      </w:r>
      <w:r w:rsidRPr="0021798E">
        <w:rPr>
          <w:sz w:val="22"/>
          <w:szCs w:val="22"/>
        </w:rPr>
        <w:t xml:space="preserve"> for what “greater depth” writing looks like in these year groups</w:t>
      </w:r>
      <w:r w:rsidR="006A04F3">
        <w:rPr>
          <w:sz w:val="22"/>
          <w:szCs w:val="22"/>
        </w:rPr>
        <w:t xml:space="preserve"> </w:t>
      </w:r>
      <w:r w:rsidR="006A04F3" w:rsidRPr="00BF5A8C">
        <w:rPr>
          <w:sz w:val="22"/>
          <w:szCs w:val="22"/>
        </w:rPr>
        <w:t xml:space="preserve">— </w:t>
      </w:r>
      <w:r w:rsidR="006A04F3">
        <w:rPr>
          <w:sz w:val="22"/>
          <w:szCs w:val="22"/>
        </w:rPr>
        <w:t>there is no accurate way to determine</w:t>
      </w:r>
      <w:r w:rsidR="00E26F9F">
        <w:rPr>
          <w:sz w:val="22"/>
          <w:szCs w:val="22"/>
        </w:rPr>
        <w:t xml:space="preserve"> if a pupil is </w:t>
      </w:r>
      <w:r w:rsidR="005854AC">
        <w:rPr>
          <w:sz w:val="22"/>
          <w:szCs w:val="22"/>
        </w:rPr>
        <w:t>on track to meet the greater depth standards by the end of Year 6.</w:t>
      </w:r>
      <w:r w:rsidR="00754C52">
        <w:rPr>
          <w:sz w:val="22"/>
          <w:szCs w:val="22"/>
        </w:rPr>
        <w:t xml:space="preserve"> In Year 6, </w:t>
      </w:r>
      <w:r w:rsidR="008F64B9">
        <w:rPr>
          <w:sz w:val="22"/>
          <w:szCs w:val="22"/>
        </w:rPr>
        <w:t>the “greater depth”</w:t>
      </w:r>
      <w:r w:rsidR="004E7096">
        <w:rPr>
          <w:sz w:val="22"/>
          <w:szCs w:val="22"/>
        </w:rPr>
        <w:t xml:space="preserve"> judgement will still be used </w:t>
      </w:r>
      <w:r w:rsidR="00307961">
        <w:rPr>
          <w:sz w:val="22"/>
          <w:szCs w:val="22"/>
        </w:rPr>
        <w:t>as</w:t>
      </w:r>
      <w:r w:rsidR="004E7096">
        <w:rPr>
          <w:sz w:val="22"/>
          <w:szCs w:val="22"/>
        </w:rPr>
        <w:t xml:space="preserve"> nationally determined criteria </w:t>
      </w:r>
      <w:r w:rsidR="00307961">
        <w:rPr>
          <w:sz w:val="22"/>
          <w:szCs w:val="22"/>
        </w:rPr>
        <w:t>is</w:t>
      </w:r>
      <w:r w:rsidR="004E7096">
        <w:rPr>
          <w:sz w:val="22"/>
          <w:szCs w:val="22"/>
        </w:rPr>
        <w:t xml:space="preserve"> in place</w:t>
      </w:r>
      <w:r w:rsidR="00712860">
        <w:rPr>
          <w:sz w:val="22"/>
          <w:szCs w:val="22"/>
        </w:rPr>
        <w:t xml:space="preserve"> and used to make end of key stage judgements.</w:t>
      </w:r>
    </w:p>
    <w:p w14:paraId="7CF458DB" w14:textId="45C14385" w:rsidR="00DE626E" w:rsidRDefault="00DF6E17" w:rsidP="009E0988">
      <w:pPr>
        <w:pStyle w:val="Heading2"/>
        <w:spacing w:line="264" w:lineRule="auto"/>
      </w:pPr>
      <w:r>
        <w:lastRenderedPageBreak/>
        <w:t>A</w:t>
      </w:r>
      <w:r w:rsidR="00307961">
        <w:t>ssessments</w:t>
      </w:r>
    </w:p>
    <w:p w14:paraId="42FB8D01" w14:textId="7718C1FA" w:rsidR="00307961" w:rsidRDefault="00587EB8" w:rsidP="009E0988">
      <w:pPr>
        <w:spacing w:line="264" w:lineRule="auto"/>
        <w:jc w:val="both"/>
        <w:rPr>
          <w:sz w:val="22"/>
          <w:szCs w:val="22"/>
        </w:rPr>
      </w:pPr>
      <w:r>
        <w:rPr>
          <w:sz w:val="22"/>
          <w:szCs w:val="22"/>
        </w:rPr>
        <w:t>In the end of key stage 2 SATs</w:t>
      </w:r>
      <w:r w:rsidR="00F9241F">
        <w:rPr>
          <w:sz w:val="22"/>
          <w:szCs w:val="22"/>
        </w:rPr>
        <w:t xml:space="preserve"> assessments</w:t>
      </w:r>
      <w:r>
        <w:rPr>
          <w:sz w:val="22"/>
          <w:szCs w:val="22"/>
        </w:rPr>
        <w:t xml:space="preserve">, </w:t>
      </w:r>
      <w:r w:rsidR="00F9241F">
        <w:rPr>
          <w:sz w:val="22"/>
          <w:szCs w:val="22"/>
        </w:rPr>
        <w:t>pupils are given a scaled score of between 80 and 120 (inclusive)</w:t>
      </w:r>
      <w:r w:rsidR="00EF0EAB">
        <w:rPr>
          <w:sz w:val="22"/>
          <w:szCs w:val="22"/>
        </w:rPr>
        <w:t xml:space="preserve">, </w:t>
      </w:r>
      <w:r w:rsidR="00957C2B" w:rsidRPr="00957C2B">
        <w:rPr>
          <w:sz w:val="22"/>
          <w:szCs w:val="22"/>
        </w:rPr>
        <w:t xml:space="preserve">with a score of </w:t>
      </w:r>
      <w:r w:rsidR="00957C2B" w:rsidRPr="00957C2B">
        <w:rPr>
          <w:b/>
          <w:bCs/>
          <w:sz w:val="22"/>
          <w:szCs w:val="22"/>
        </w:rPr>
        <w:t>100</w:t>
      </w:r>
      <w:r w:rsidR="00957C2B" w:rsidRPr="00957C2B">
        <w:rPr>
          <w:sz w:val="22"/>
          <w:szCs w:val="22"/>
        </w:rPr>
        <w:t xml:space="preserve"> meaning pupils have met the </w:t>
      </w:r>
      <w:r w:rsidR="00957C2B" w:rsidRPr="00957C2B">
        <w:rPr>
          <w:b/>
          <w:bCs/>
          <w:sz w:val="22"/>
          <w:szCs w:val="22"/>
        </w:rPr>
        <w:t>expected standard</w:t>
      </w:r>
      <w:r w:rsidR="00957C2B" w:rsidRPr="00957C2B">
        <w:rPr>
          <w:sz w:val="22"/>
          <w:szCs w:val="22"/>
        </w:rPr>
        <w:t xml:space="preserve">, and </w:t>
      </w:r>
      <w:r w:rsidR="00957C2B" w:rsidRPr="00957C2B">
        <w:rPr>
          <w:b/>
          <w:bCs/>
          <w:i/>
          <w:iCs/>
          <w:sz w:val="22"/>
          <w:szCs w:val="22"/>
        </w:rPr>
        <w:t>110</w:t>
      </w:r>
      <w:r w:rsidR="00957C2B" w:rsidRPr="00957C2B">
        <w:rPr>
          <w:sz w:val="22"/>
          <w:szCs w:val="22"/>
        </w:rPr>
        <w:t xml:space="preserve"> or above meaning they are working at the </w:t>
      </w:r>
      <w:r w:rsidR="00957C2B" w:rsidRPr="00957C2B">
        <w:rPr>
          <w:b/>
          <w:bCs/>
          <w:i/>
          <w:iCs/>
          <w:sz w:val="22"/>
          <w:szCs w:val="22"/>
        </w:rPr>
        <w:t>higher standard</w:t>
      </w:r>
      <w:r w:rsidR="00957C2B" w:rsidRPr="00957C2B">
        <w:rPr>
          <w:sz w:val="22"/>
          <w:szCs w:val="22"/>
        </w:rPr>
        <w:t xml:space="preserve"> (</w:t>
      </w:r>
      <w:r w:rsidR="004C45A8">
        <w:rPr>
          <w:sz w:val="22"/>
          <w:szCs w:val="22"/>
        </w:rPr>
        <w:t>often</w:t>
      </w:r>
      <w:r w:rsidR="00957C2B" w:rsidRPr="00957C2B">
        <w:rPr>
          <w:sz w:val="22"/>
          <w:szCs w:val="22"/>
        </w:rPr>
        <w:t xml:space="preserve"> referred to as </w:t>
      </w:r>
      <w:r w:rsidR="00957C2B" w:rsidRPr="00957C2B">
        <w:rPr>
          <w:b/>
          <w:bCs/>
          <w:i/>
          <w:iCs/>
          <w:sz w:val="22"/>
          <w:szCs w:val="22"/>
        </w:rPr>
        <w:t>greater depth</w:t>
      </w:r>
      <w:r w:rsidR="00957C2B" w:rsidRPr="00957C2B">
        <w:rPr>
          <w:sz w:val="22"/>
          <w:szCs w:val="22"/>
        </w:rPr>
        <w:t>).</w:t>
      </w:r>
      <w:r w:rsidR="00957C2B">
        <w:rPr>
          <w:sz w:val="22"/>
          <w:szCs w:val="22"/>
        </w:rPr>
        <w:t xml:space="preserve"> </w:t>
      </w:r>
      <w:r w:rsidR="002E0B8E">
        <w:rPr>
          <w:sz w:val="22"/>
          <w:szCs w:val="22"/>
        </w:rPr>
        <w:t xml:space="preserve">For Years 3, 4 &amp; 5, we were previously using assessments </w:t>
      </w:r>
      <w:r w:rsidR="008A4CE2">
        <w:rPr>
          <w:sz w:val="22"/>
          <w:szCs w:val="22"/>
        </w:rPr>
        <w:t>that provide a</w:t>
      </w:r>
      <w:r w:rsidR="002E0B8E">
        <w:rPr>
          <w:sz w:val="22"/>
          <w:szCs w:val="22"/>
        </w:rPr>
        <w:t xml:space="preserve"> </w:t>
      </w:r>
      <w:r w:rsidR="008A4CE2">
        <w:rPr>
          <w:sz w:val="22"/>
          <w:szCs w:val="22"/>
        </w:rPr>
        <w:t>standardised score,</w:t>
      </w:r>
      <w:r w:rsidR="002E0B8E">
        <w:rPr>
          <w:sz w:val="22"/>
          <w:szCs w:val="22"/>
        </w:rPr>
        <w:t xml:space="preserve"> where 100</w:t>
      </w:r>
      <w:r w:rsidR="008A4CE2">
        <w:rPr>
          <w:sz w:val="22"/>
          <w:szCs w:val="22"/>
        </w:rPr>
        <w:t xml:space="preserve"> is the average score nationally rather than the threshold for working at the expected standard.</w:t>
      </w:r>
    </w:p>
    <w:p w14:paraId="39762F78" w14:textId="2DDB96D8" w:rsidR="00DF6E17" w:rsidRDefault="004B2E99" w:rsidP="009E0988">
      <w:pPr>
        <w:spacing w:line="264" w:lineRule="auto"/>
        <w:jc w:val="both"/>
        <w:rPr>
          <w:sz w:val="22"/>
          <w:szCs w:val="22"/>
        </w:rPr>
      </w:pPr>
      <w:r>
        <w:rPr>
          <w:sz w:val="22"/>
          <w:szCs w:val="22"/>
        </w:rPr>
        <w:t xml:space="preserve">Whilst standardised scores gave a strong indication </w:t>
      </w:r>
      <w:r w:rsidR="007209DC">
        <w:rPr>
          <w:sz w:val="22"/>
          <w:szCs w:val="22"/>
        </w:rPr>
        <w:t xml:space="preserve">of </w:t>
      </w:r>
      <w:r w:rsidR="00DF79B2">
        <w:rPr>
          <w:sz w:val="22"/>
          <w:szCs w:val="22"/>
        </w:rPr>
        <w:t>pupils’</w:t>
      </w:r>
      <w:r w:rsidR="007209DC">
        <w:rPr>
          <w:sz w:val="22"/>
          <w:szCs w:val="22"/>
        </w:rPr>
        <w:t xml:space="preserve"> levels of achievement, the difference between scaled scores and standardised scores could be confusing.</w:t>
      </w:r>
      <w:r w:rsidR="007264D0">
        <w:rPr>
          <w:sz w:val="22"/>
          <w:szCs w:val="22"/>
        </w:rPr>
        <w:t xml:space="preserve"> As of this academic year, we will now use assessments which provide a scaled score</w:t>
      </w:r>
      <w:r w:rsidR="00927CEC">
        <w:rPr>
          <w:sz w:val="22"/>
          <w:szCs w:val="22"/>
        </w:rPr>
        <w:t xml:space="preserve"> in line with the </w:t>
      </w:r>
      <w:r w:rsidR="00DE32F2">
        <w:rPr>
          <w:sz w:val="22"/>
          <w:szCs w:val="22"/>
        </w:rPr>
        <w:t xml:space="preserve">end of key stage 2 SATs with </w:t>
      </w:r>
      <w:r w:rsidR="00DE32F2" w:rsidRPr="00A63FD4">
        <w:rPr>
          <w:b/>
          <w:bCs/>
          <w:sz w:val="22"/>
          <w:szCs w:val="22"/>
        </w:rPr>
        <w:t>100</w:t>
      </w:r>
      <w:r w:rsidR="00DE32F2">
        <w:rPr>
          <w:sz w:val="22"/>
          <w:szCs w:val="22"/>
        </w:rPr>
        <w:t xml:space="preserve"> </w:t>
      </w:r>
      <w:r w:rsidR="00DF6E17">
        <w:rPr>
          <w:sz w:val="22"/>
          <w:szCs w:val="22"/>
        </w:rPr>
        <w:t xml:space="preserve">being the </w:t>
      </w:r>
      <w:r w:rsidR="00DF6E17" w:rsidRPr="00A63FD4">
        <w:rPr>
          <w:b/>
          <w:bCs/>
          <w:sz w:val="22"/>
          <w:szCs w:val="22"/>
        </w:rPr>
        <w:t xml:space="preserve">threshold for </w:t>
      </w:r>
      <w:r w:rsidR="008E21B9">
        <w:rPr>
          <w:b/>
          <w:bCs/>
          <w:sz w:val="22"/>
          <w:szCs w:val="22"/>
        </w:rPr>
        <w:t xml:space="preserve">securely </w:t>
      </w:r>
      <w:r w:rsidR="00DF6E17" w:rsidRPr="00A63FD4">
        <w:rPr>
          <w:b/>
          <w:bCs/>
          <w:sz w:val="22"/>
          <w:szCs w:val="22"/>
        </w:rPr>
        <w:t>working at the expected standard</w:t>
      </w:r>
      <w:r w:rsidR="00DF6E17">
        <w:rPr>
          <w:sz w:val="22"/>
          <w:szCs w:val="22"/>
        </w:rPr>
        <w:t>.</w:t>
      </w:r>
    </w:p>
    <w:p w14:paraId="2EF00DDC" w14:textId="276964CD" w:rsidR="007003CF" w:rsidRDefault="00DF6E17" w:rsidP="009E0988">
      <w:pPr>
        <w:spacing w:line="264" w:lineRule="auto"/>
        <w:jc w:val="both"/>
        <w:rPr>
          <w:sz w:val="22"/>
          <w:szCs w:val="22"/>
        </w:rPr>
      </w:pPr>
      <w:r>
        <w:rPr>
          <w:sz w:val="22"/>
          <w:szCs w:val="22"/>
        </w:rPr>
        <w:t>Year 6 pupils will continue using past SATs papers</w:t>
      </w:r>
      <w:r w:rsidR="00A63FD4">
        <w:rPr>
          <w:sz w:val="22"/>
          <w:szCs w:val="22"/>
        </w:rPr>
        <w:t xml:space="preserve"> for their assessments.</w:t>
      </w:r>
    </w:p>
    <w:p w14:paraId="075F9161" w14:textId="77777777" w:rsidR="00BB7321" w:rsidRDefault="00BB7321" w:rsidP="009E0988">
      <w:pPr>
        <w:spacing w:line="264" w:lineRule="auto"/>
        <w:jc w:val="both"/>
        <w:rPr>
          <w:sz w:val="22"/>
          <w:szCs w:val="22"/>
        </w:rPr>
      </w:pPr>
    </w:p>
    <w:p w14:paraId="07809258" w14:textId="4C185F70" w:rsidR="00BB7321" w:rsidRDefault="00BB7321" w:rsidP="009E0988">
      <w:pPr>
        <w:pStyle w:val="Heading1"/>
        <w:spacing w:line="264" w:lineRule="auto"/>
      </w:pPr>
      <w:r>
        <w:t>Teacher assessment judgements used</w:t>
      </w:r>
    </w:p>
    <w:p w14:paraId="6C0B4BE8" w14:textId="23BEE0C0" w:rsidR="00BB7321" w:rsidRPr="00827B1B" w:rsidRDefault="006A19B8" w:rsidP="009E0988">
      <w:pPr>
        <w:spacing w:line="264" w:lineRule="auto"/>
        <w:rPr>
          <w:sz w:val="22"/>
          <w:szCs w:val="22"/>
        </w:rPr>
      </w:pPr>
      <w:r w:rsidRPr="00827B1B">
        <w:rPr>
          <w:sz w:val="22"/>
          <w:szCs w:val="22"/>
        </w:rPr>
        <w:t xml:space="preserve">The following </w:t>
      </w:r>
      <w:r w:rsidR="00486016" w:rsidRPr="00827B1B">
        <w:rPr>
          <w:sz w:val="22"/>
          <w:szCs w:val="22"/>
        </w:rPr>
        <w:t>teacher assessment judgement</w:t>
      </w:r>
      <w:r w:rsidR="00836F8D" w:rsidRPr="00827B1B">
        <w:rPr>
          <w:sz w:val="22"/>
          <w:szCs w:val="22"/>
        </w:rPr>
        <w:t xml:space="preserve"> statements will be used</w:t>
      </w:r>
      <w:r w:rsidR="00D530CA" w:rsidRPr="00827B1B">
        <w:rPr>
          <w:sz w:val="22"/>
          <w:szCs w:val="22"/>
        </w:rPr>
        <w:t xml:space="preserve"> in Year 1, Year 2 and for writing in Years 3, 4 and 5:</w:t>
      </w:r>
    </w:p>
    <w:tbl>
      <w:tblPr>
        <w:tblStyle w:val="TableGrid"/>
        <w:tblW w:w="0" w:type="auto"/>
        <w:tblLook w:val="04A0" w:firstRow="1" w:lastRow="0" w:firstColumn="1" w:lastColumn="0" w:noHBand="0" w:noVBand="1"/>
      </w:tblPr>
      <w:tblGrid>
        <w:gridCol w:w="846"/>
        <w:gridCol w:w="3260"/>
        <w:gridCol w:w="4910"/>
      </w:tblGrid>
      <w:tr w:rsidR="00827B1B" w14:paraId="736FB615" w14:textId="77777777" w:rsidTr="001E7327">
        <w:trPr>
          <w:trHeight w:val="397"/>
        </w:trPr>
        <w:tc>
          <w:tcPr>
            <w:tcW w:w="846" w:type="dxa"/>
            <w:shd w:val="clear" w:color="auto" w:fill="DAE9F7" w:themeFill="text2" w:themeFillTint="1A"/>
            <w:vAlign w:val="center"/>
          </w:tcPr>
          <w:p w14:paraId="1963754F" w14:textId="408F78D0" w:rsidR="00827B1B" w:rsidRPr="00A70746" w:rsidRDefault="00A70746" w:rsidP="001E7327">
            <w:pPr>
              <w:spacing w:before="80" w:after="80"/>
              <w:rPr>
                <w:b/>
                <w:bCs/>
                <w:sz w:val="22"/>
                <w:szCs w:val="22"/>
              </w:rPr>
            </w:pPr>
            <w:r w:rsidRPr="00A70746">
              <w:rPr>
                <w:b/>
                <w:bCs/>
                <w:sz w:val="22"/>
                <w:szCs w:val="22"/>
              </w:rPr>
              <w:t>Code</w:t>
            </w:r>
          </w:p>
        </w:tc>
        <w:tc>
          <w:tcPr>
            <w:tcW w:w="3260" w:type="dxa"/>
            <w:shd w:val="clear" w:color="auto" w:fill="DAE9F7" w:themeFill="text2" w:themeFillTint="1A"/>
            <w:vAlign w:val="center"/>
          </w:tcPr>
          <w:p w14:paraId="17980F60" w14:textId="2A5BEA97" w:rsidR="00827B1B" w:rsidRPr="00A70746" w:rsidRDefault="0048034A" w:rsidP="001E7327">
            <w:pPr>
              <w:spacing w:before="80" w:after="80"/>
              <w:rPr>
                <w:b/>
                <w:bCs/>
                <w:sz w:val="22"/>
                <w:szCs w:val="22"/>
              </w:rPr>
            </w:pPr>
            <w:r w:rsidRPr="00A70746">
              <w:rPr>
                <w:b/>
                <w:bCs/>
                <w:sz w:val="22"/>
                <w:szCs w:val="22"/>
              </w:rPr>
              <w:t>Meaning</w:t>
            </w:r>
          </w:p>
        </w:tc>
        <w:tc>
          <w:tcPr>
            <w:tcW w:w="4910" w:type="dxa"/>
            <w:shd w:val="clear" w:color="auto" w:fill="DAE9F7" w:themeFill="text2" w:themeFillTint="1A"/>
            <w:vAlign w:val="center"/>
          </w:tcPr>
          <w:p w14:paraId="3F9287C7" w14:textId="0E55A016" w:rsidR="00827B1B" w:rsidRPr="00A70746" w:rsidRDefault="0060709F" w:rsidP="001E7327">
            <w:pPr>
              <w:spacing w:before="80" w:after="80"/>
              <w:rPr>
                <w:b/>
                <w:bCs/>
                <w:sz w:val="22"/>
                <w:szCs w:val="22"/>
              </w:rPr>
            </w:pPr>
            <w:r>
              <w:rPr>
                <w:b/>
                <w:bCs/>
                <w:sz w:val="22"/>
                <w:szCs w:val="22"/>
              </w:rPr>
              <w:t>Notes</w:t>
            </w:r>
          </w:p>
        </w:tc>
      </w:tr>
      <w:tr w:rsidR="00827B1B" w14:paraId="19ABB84B" w14:textId="77777777" w:rsidTr="001E7327">
        <w:trPr>
          <w:trHeight w:val="397"/>
        </w:trPr>
        <w:tc>
          <w:tcPr>
            <w:tcW w:w="846" w:type="dxa"/>
            <w:vAlign w:val="center"/>
          </w:tcPr>
          <w:p w14:paraId="1FA926D6" w14:textId="3F9399D3" w:rsidR="00827B1B" w:rsidRPr="001E7327" w:rsidRDefault="0066471A" w:rsidP="001E7327">
            <w:pPr>
              <w:spacing w:before="80" w:after="80"/>
              <w:rPr>
                <w:sz w:val="20"/>
                <w:szCs w:val="20"/>
              </w:rPr>
            </w:pPr>
            <w:r w:rsidRPr="001E7327">
              <w:rPr>
                <w:sz w:val="20"/>
                <w:szCs w:val="20"/>
              </w:rPr>
              <w:t>PKS</w:t>
            </w:r>
          </w:p>
        </w:tc>
        <w:tc>
          <w:tcPr>
            <w:tcW w:w="3260" w:type="dxa"/>
            <w:vAlign w:val="center"/>
          </w:tcPr>
          <w:p w14:paraId="3743A61A" w14:textId="500C8081" w:rsidR="00827B1B" w:rsidRPr="001E7327" w:rsidRDefault="0048034A" w:rsidP="001E7327">
            <w:pPr>
              <w:spacing w:before="80" w:after="80"/>
              <w:rPr>
                <w:sz w:val="20"/>
                <w:szCs w:val="20"/>
              </w:rPr>
            </w:pPr>
            <w:r w:rsidRPr="001E7327">
              <w:rPr>
                <w:sz w:val="20"/>
                <w:szCs w:val="20"/>
              </w:rPr>
              <w:t>Pre-key stage</w:t>
            </w:r>
          </w:p>
        </w:tc>
        <w:tc>
          <w:tcPr>
            <w:tcW w:w="4910" w:type="dxa"/>
            <w:vAlign w:val="center"/>
          </w:tcPr>
          <w:p w14:paraId="3947FC6D" w14:textId="2AE3A24E" w:rsidR="00827B1B" w:rsidRPr="001E7327" w:rsidRDefault="001E7327" w:rsidP="001E7327">
            <w:pPr>
              <w:spacing w:before="80" w:after="80"/>
              <w:rPr>
                <w:sz w:val="20"/>
                <w:szCs w:val="20"/>
              </w:rPr>
            </w:pPr>
            <w:r w:rsidRPr="001E7327">
              <w:rPr>
                <w:sz w:val="20"/>
                <w:szCs w:val="20"/>
              </w:rPr>
              <w:t>Cannot access age-appropriate content</w:t>
            </w:r>
          </w:p>
        </w:tc>
      </w:tr>
      <w:tr w:rsidR="00827B1B" w14:paraId="3D91EF82" w14:textId="77777777" w:rsidTr="001E7327">
        <w:trPr>
          <w:trHeight w:val="397"/>
        </w:trPr>
        <w:tc>
          <w:tcPr>
            <w:tcW w:w="846" w:type="dxa"/>
            <w:vAlign w:val="center"/>
          </w:tcPr>
          <w:p w14:paraId="6BC9CECA" w14:textId="60BA117E" w:rsidR="00827B1B" w:rsidRPr="001E7327" w:rsidRDefault="0066471A" w:rsidP="001E7327">
            <w:pPr>
              <w:spacing w:before="80" w:after="80"/>
              <w:rPr>
                <w:sz w:val="20"/>
                <w:szCs w:val="20"/>
              </w:rPr>
            </w:pPr>
            <w:r w:rsidRPr="001E7327">
              <w:rPr>
                <w:sz w:val="20"/>
                <w:szCs w:val="20"/>
              </w:rPr>
              <w:t>WTS</w:t>
            </w:r>
          </w:p>
        </w:tc>
        <w:tc>
          <w:tcPr>
            <w:tcW w:w="3260" w:type="dxa"/>
            <w:vAlign w:val="center"/>
          </w:tcPr>
          <w:p w14:paraId="380F0867" w14:textId="798BB79E" w:rsidR="00827B1B" w:rsidRPr="001E7327" w:rsidRDefault="0048034A" w:rsidP="001E7327">
            <w:pPr>
              <w:spacing w:before="80" w:after="80"/>
              <w:rPr>
                <w:sz w:val="20"/>
                <w:szCs w:val="20"/>
              </w:rPr>
            </w:pPr>
            <w:r w:rsidRPr="001E7327">
              <w:rPr>
                <w:b/>
                <w:bCs/>
                <w:sz w:val="20"/>
                <w:szCs w:val="20"/>
              </w:rPr>
              <w:t>W</w:t>
            </w:r>
            <w:r w:rsidRPr="001E7327">
              <w:rPr>
                <w:sz w:val="20"/>
                <w:szCs w:val="20"/>
              </w:rPr>
              <w:t xml:space="preserve">orking </w:t>
            </w:r>
            <w:r w:rsidRPr="001E7327">
              <w:rPr>
                <w:b/>
                <w:bCs/>
                <w:sz w:val="20"/>
                <w:szCs w:val="20"/>
              </w:rPr>
              <w:t>t</w:t>
            </w:r>
            <w:r w:rsidRPr="001E7327">
              <w:rPr>
                <w:sz w:val="20"/>
                <w:szCs w:val="20"/>
              </w:rPr>
              <w:t>owards the expected standard</w:t>
            </w:r>
          </w:p>
        </w:tc>
        <w:tc>
          <w:tcPr>
            <w:tcW w:w="4910" w:type="dxa"/>
            <w:vAlign w:val="center"/>
          </w:tcPr>
          <w:p w14:paraId="33C23C59" w14:textId="428CFDB6" w:rsidR="00827B1B" w:rsidRPr="001E7327" w:rsidRDefault="001E7327" w:rsidP="001E7327">
            <w:pPr>
              <w:spacing w:before="80" w:after="80"/>
              <w:rPr>
                <w:sz w:val="20"/>
                <w:szCs w:val="20"/>
              </w:rPr>
            </w:pPr>
            <w:r w:rsidRPr="001E7327">
              <w:rPr>
                <w:sz w:val="20"/>
                <w:szCs w:val="20"/>
              </w:rPr>
              <w:t>Can access age-appropriate content with support</w:t>
            </w:r>
          </w:p>
        </w:tc>
      </w:tr>
      <w:tr w:rsidR="00827B1B" w14:paraId="7C4AB542" w14:textId="77777777" w:rsidTr="001E7327">
        <w:trPr>
          <w:trHeight w:val="397"/>
        </w:trPr>
        <w:tc>
          <w:tcPr>
            <w:tcW w:w="846" w:type="dxa"/>
            <w:vAlign w:val="center"/>
          </w:tcPr>
          <w:p w14:paraId="229E2B84" w14:textId="53F2D913" w:rsidR="00827B1B" w:rsidRPr="001E7327" w:rsidRDefault="0066471A" w:rsidP="001E7327">
            <w:pPr>
              <w:spacing w:before="80" w:after="80"/>
              <w:rPr>
                <w:sz w:val="20"/>
                <w:szCs w:val="20"/>
              </w:rPr>
            </w:pPr>
            <w:r w:rsidRPr="001E7327">
              <w:rPr>
                <w:sz w:val="20"/>
                <w:szCs w:val="20"/>
              </w:rPr>
              <w:t>EXS</w:t>
            </w:r>
          </w:p>
        </w:tc>
        <w:tc>
          <w:tcPr>
            <w:tcW w:w="3260" w:type="dxa"/>
            <w:vAlign w:val="center"/>
          </w:tcPr>
          <w:p w14:paraId="28F81FE6" w14:textId="03628485" w:rsidR="00827B1B" w:rsidRPr="001E7327" w:rsidRDefault="0048034A" w:rsidP="001E7327">
            <w:pPr>
              <w:spacing w:before="80" w:after="80"/>
              <w:rPr>
                <w:sz w:val="20"/>
                <w:szCs w:val="20"/>
              </w:rPr>
            </w:pPr>
            <w:r w:rsidRPr="001E7327">
              <w:rPr>
                <w:sz w:val="20"/>
                <w:szCs w:val="20"/>
              </w:rPr>
              <w:t xml:space="preserve">Working at the </w:t>
            </w:r>
            <w:r w:rsidRPr="001E7327">
              <w:rPr>
                <w:b/>
                <w:bCs/>
                <w:sz w:val="20"/>
                <w:szCs w:val="20"/>
              </w:rPr>
              <w:t>ex</w:t>
            </w:r>
            <w:r w:rsidRPr="001E7327">
              <w:rPr>
                <w:sz w:val="20"/>
                <w:szCs w:val="20"/>
              </w:rPr>
              <w:t xml:space="preserve">pected </w:t>
            </w:r>
            <w:r w:rsidRPr="001E7327">
              <w:rPr>
                <w:b/>
                <w:bCs/>
                <w:sz w:val="20"/>
                <w:szCs w:val="20"/>
              </w:rPr>
              <w:t>s</w:t>
            </w:r>
            <w:r w:rsidRPr="001E7327">
              <w:rPr>
                <w:sz w:val="20"/>
                <w:szCs w:val="20"/>
              </w:rPr>
              <w:t>tandard</w:t>
            </w:r>
          </w:p>
        </w:tc>
        <w:tc>
          <w:tcPr>
            <w:tcW w:w="4910" w:type="dxa"/>
            <w:vAlign w:val="center"/>
          </w:tcPr>
          <w:p w14:paraId="51EC9631" w14:textId="1615EDC9" w:rsidR="00827B1B" w:rsidRPr="001E7327" w:rsidRDefault="001E7327" w:rsidP="001E7327">
            <w:pPr>
              <w:spacing w:before="80" w:after="80"/>
              <w:rPr>
                <w:sz w:val="20"/>
                <w:szCs w:val="20"/>
              </w:rPr>
            </w:pPr>
            <w:r w:rsidRPr="001E7327">
              <w:rPr>
                <w:sz w:val="20"/>
                <w:szCs w:val="20"/>
              </w:rPr>
              <w:t>Can access age-appropriate content independently</w:t>
            </w:r>
          </w:p>
        </w:tc>
      </w:tr>
    </w:tbl>
    <w:p w14:paraId="403476E5" w14:textId="6E8D8493" w:rsidR="00D530CA" w:rsidRDefault="00D530CA" w:rsidP="00BB7321">
      <w:pPr>
        <w:rPr>
          <w:sz w:val="22"/>
          <w:szCs w:val="22"/>
        </w:rPr>
      </w:pPr>
    </w:p>
    <w:p w14:paraId="2B0D7586" w14:textId="45E2546A" w:rsidR="0001149F" w:rsidRPr="00827B1B" w:rsidRDefault="0001149F" w:rsidP="009E0988">
      <w:pPr>
        <w:spacing w:line="264" w:lineRule="auto"/>
        <w:rPr>
          <w:sz w:val="22"/>
          <w:szCs w:val="22"/>
        </w:rPr>
      </w:pPr>
      <w:r w:rsidRPr="00827B1B">
        <w:rPr>
          <w:sz w:val="22"/>
          <w:szCs w:val="22"/>
        </w:rPr>
        <w:t>The following teacher assessment judgement statements will</w:t>
      </w:r>
      <w:r>
        <w:rPr>
          <w:sz w:val="22"/>
          <w:szCs w:val="22"/>
        </w:rPr>
        <w:t xml:space="preserve"> continue to</w:t>
      </w:r>
      <w:r w:rsidRPr="00827B1B">
        <w:rPr>
          <w:sz w:val="22"/>
          <w:szCs w:val="22"/>
        </w:rPr>
        <w:t xml:space="preserve"> be used in </w:t>
      </w:r>
      <w:r>
        <w:rPr>
          <w:sz w:val="22"/>
          <w:szCs w:val="22"/>
        </w:rPr>
        <w:t xml:space="preserve">reading and maths in </w:t>
      </w:r>
      <w:r w:rsidRPr="00827B1B">
        <w:rPr>
          <w:sz w:val="22"/>
          <w:szCs w:val="22"/>
        </w:rPr>
        <w:t>Years 3, 4 and 5</w:t>
      </w:r>
      <w:r>
        <w:rPr>
          <w:sz w:val="22"/>
          <w:szCs w:val="22"/>
        </w:rPr>
        <w:t xml:space="preserve"> and </w:t>
      </w:r>
      <w:r w:rsidR="001C5564">
        <w:rPr>
          <w:sz w:val="22"/>
          <w:szCs w:val="22"/>
        </w:rPr>
        <w:t>in all subjects in Year 6</w:t>
      </w:r>
      <w:r w:rsidRPr="00827B1B">
        <w:rPr>
          <w:sz w:val="22"/>
          <w:szCs w:val="22"/>
        </w:rPr>
        <w:t>:</w:t>
      </w:r>
    </w:p>
    <w:tbl>
      <w:tblPr>
        <w:tblStyle w:val="TableGrid"/>
        <w:tblW w:w="0" w:type="auto"/>
        <w:tblLook w:val="04A0" w:firstRow="1" w:lastRow="0" w:firstColumn="1" w:lastColumn="0" w:noHBand="0" w:noVBand="1"/>
      </w:tblPr>
      <w:tblGrid>
        <w:gridCol w:w="846"/>
        <w:gridCol w:w="3260"/>
        <w:gridCol w:w="4910"/>
      </w:tblGrid>
      <w:tr w:rsidR="0001149F" w14:paraId="14CAB18D" w14:textId="77777777" w:rsidTr="00D5094A">
        <w:trPr>
          <w:trHeight w:val="397"/>
        </w:trPr>
        <w:tc>
          <w:tcPr>
            <w:tcW w:w="846" w:type="dxa"/>
            <w:shd w:val="clear" w:color="auto" w:fill="DAE9F7" w:themeFill="text2" w:themeFillTint="1A"/>
            <w:vAlign w:val="center"/>
          </w:tcPr>
          <w:p w14:paraId="3E625DE9" w14:textId="77777777" w:rsidR="0001149F" w:rsidRPr="00A70746" w:rsidRDefault="0001149F" w:rsidP="00D5094A">
            <w:pPr>
              <w:spacing w:before="80" w:after="80"/>
              <w:rPr>
                <w:b/>
                <w:bCs/>
                <w:sz w:val="22"/>
                <w:szCs w:val="22"/>
              </w:rPr>
            </w:pPr>
            <w:r w:rsidRPr="00A70746">
              <w:rPr>
                <w:b/>
                <w:bCs/>
                <w:sz w:val="22"/>
                <w:szCs w:val="22"/>
              </w:rPr>
              <w:t>Code</w:t>
            </w:r>
          </w:p>
        </w:tc>
        <w:tc>
          <w:tcPr>
            <w:tcW w:w="3260" w:type="dxa"/>
            <w:shd w:val="clear" w:color="auto" w:fill="DAE9F7" w:themeFill="text2" w:themeFillTint="1A"/>
            <w:vAlign w:val="center"/>
          </w:tcPr>
          <w:p w14:paraId="5EB99161" w14:textId="77777777" w:rsidR="0001149F" w:rsidRPr="00A70746" w:rsidRDefault="0001149F" w:rsidP="00D5094A">
            <w:pPr>
              <w:spacing w:before="80" w:after="80"/>
              <w:rPr>
                <w:b/>
                <w:bCs/>
                <w:sz w:val="22"/>
                <w:szCs w:val="22"/>
              </w:rPr>
            </w:pPr>
            <w:r w:rsidRPr="00A70746">
              <w:rPr>
                <w:b/>
                <w:bCs/>
                <w:sz w:val="22"/>
                <w:szCs w:val="22"/>
              </w:rPr>
              <w:t>Meaning</w:t>
            </w:r>
          </w:p>
        </w:tc>
        <w:tc>
          <w:tcPr>
            <w:tcW w:w="4910" w:type="dxa"/>
            <w:shd w:val="clear" w:color="auto" w:fill="DAE9F7" w:themeFill="text2" w:themeFillTint="1A"/>
            <w:vAlign w:val="center"/>
          </w:tcPr>
          <w:p w14:paraId="100B18FF" w14:textId="77777777" w:rsidR="0001149F" w:rsidRPr="00A70746" w:rsidRDefault="0001149F" w:rsidP="00D5094A">
            <w:pPr>
              <w:spacing w:before="80" w:after="80"/>
              <w:rPr>
                <w:b/>
                <w:bCs/>
                <w:sz w:val="22"/>
                <w:szCs w:val="22"/>
              </w:rPr>
            </w:pPr>
            <w:r>
              <w:rPr>
                <w:b/>
                <w:bCs/>
                <w:sz w:val="22"/>
                <w:szCs w:val="22"/>
              </w:rPr>
              <w:t>Notes</w:t>
            </w:r>
          </w:p>
        </w:tc>
      </w:tr>
      <w:tr w:rsidR="0001149F" w14:paraId="0089A164" w14:textId="77777777" w:rsidTr="00D5094A">
        <w:trPr>
          <w:trHeight w:val="397"/>
        </w:trPr>
        <w:tc>
          <w:tcPr>
            <w:tcW w:w="846" w:type="dxa"/>
            <w:vAlign w:val="center"/>
          </w:tcPr>
          <w:p w14:paraId="3F0A2991" w14:textId="77777777" w:rsidR="0001149F" w:rsidRPr="001E7327" w:rsidRDefault="0001149F" w:rsidP="00D5094A">
            <w:pPr>
              <w:spacing w:before="80" w:after="80"/>
              <w:rPr>
                <w:sz w:val="20"/>
                <w:szCs w:val="20"/>
              </w:rPr>
            </w:pPr>
            <w:r w:rsidRPr="001E7327">
              <w:rPr>
                <w:sz w:val="20"/>
                <w:szCs w:val="20"/>
              </w:rPr>
              <w:t>PKS</w:t>
            </w:r>
          </w:p>
        </w:tc>
        <w:tc>
          <w:tcPr>
            <w:tcW w:w="3260" w:type="dxa"/>
            <w:vAlign w:val="center"/>
          </w:tcPr>
          <w:p w14:paraId="03E97420" w14:textId="77777777" w:rsidR="0001149F" w:rsidRPr="001E7327" w:rsidRDefault="0001149F" w:rsidP="00D5094A">
            <w:pPr>
              <w:spacing w:before="80" w:after="80"/>
              <w:rPr>
                <w:sz w:val="20"/>
                <w:szCs w:val="20"/>
              </w:rPr>
            </w:pPr>
            <w:r w:rsidRPr="001E7327">
              <w:rPr>
                <w:sz w:val="20"/>
                <w:szCs w:val="20"/>
              </w:rPr>
              <w:t>Pre-key stage</w:t>
            </w:r>
          </w:p>
        </w:tc>
        <w:tc>
          <w:tcPr>
            <w:tcW w:w="4910" w:type="dxa"/>
            <w:vAlign w:val="center"/>
          </w:tcPr>
          <w:p w14:paraId="2E1897F0" w14:textId="77777777" w:rsidR="0001149F" w:rsidRPr="001E7327" w:rsidRDefault="0001149F" w:rsidP="00D5094A">
            <w:pPr>
              <w:spacing w:before="80" w:after="80"/>
              <w:rPr>
                <w:sz w:val="20"/>
                <w:szCs w:val="20"/>
              </w:rPr>
            </w:pPr>
            <w:r w:rsidRPr="001E7327">
              <w:rPr>
                <w:sz w:val="20"/>
                <w:szCs w:val="20"/>
              </w:rPr>
              <w:t>Cannot access age-appropriate content</w:t>
            </w:r>
          </w:p>
        </w:tc>
      </w:tr>
      <w:tr w:rsidR="0001149F" w14:paraId="75D0E73A" w14:textId="77777777" w:rsidTr="00D5094A">
        <w:trPr>
          <w:trHeight w:val="397"/>
        </w:trPr>
        <w:tc>
          <w:tcPr>
            <w:tcW w:w="846" w:type="dxa"/>
            <w:vAlign w:val="center"/>
          </w:tcPr>
          <w:p w14:paraId="3B012C94" w14:textId="77777777" w:rsidR="0001149F" w:rsidRPr="001E7327" w:rsidRDefault="0001149F" w:rsidP="00D5094A">
            <w:pPr>
              <w:spacing w:before="80" w:after="80"/>
              <w:rPr>
                <w:sz w:val="20"/>
                <w:szCs w:val="20"/>
              </w:rPr>
            </w:pPr>
            <w:r w:rsidRPr="001E7327">
              <w:rPr>
                <w:sz w:val="20"/>
                <w:szCs w:val="20"/>
              </w:rPr>
              <w:t>WTS</w:t>
            </w:r>
          </w:p>
        </w:tc>
        <w:tc>
          <w:tcPr>
            <w:tcW w:w="3260" w:type="dxa"/>
            <w:vAlign w:val="center"/>
          </w:tcPr>
          <w:p w14:paraId="37180CE6" w14:textId="77777777" w:rsidR="0001149F" w:rsidRPr="001E7327" w:rsidRDefault="0001149F" w:rsidP="00D5094A">
            <w:pPr>
              <w:spacing w:before="80" w:after="80"/>
              <w:rPr>
                <w:sz w:val="20"/>
                <w:szCs w:val="20"/>
              </w:rPr>
            </w:pPr>
            <w:r w:rsidRPr="001E7327">
              <w:rPr>
                <w:b/>
                <w:bCs/>
                <w:sz w:val="20"/>
                <w:szCs w:val="20"/>
              </w:rPr>
              <w:t>W</w:t>
            </w:r>
            <w:r w:rsidRPr="001E7327">
              <w:rPr>
                <w:sz w:val="20"/>
                <w:szCs w:val="20"/>
              </w:rPr>
              <w:t xml:space="preserve">orking </w:t>
            </w:r>
            <w:r w:rsidRPr="001E7327">
              <w:rPr>
                <w:b/>
                <w:bCs/>
                <w:sz w:val="20"/>
                <w:szCs w:val="20"/>
              </w:rPr>
              <w:t>t</w:t>
            </w:r>
            <w:r w:rsidRPr="001E7327">
              <w:rPr>
                <w:sz w:val="20"/>
                <w:szCs w:val="20"/>
              </w:rPr>
              <w:t>owards the expected standard</w:t>
            </w:r>
          </w:p>
        </w:tc>
        <w:tc>
          <w:tcPr>
            <w:tcW w:w="4910" w:type="dxa"/>
            <w:vAlign w:val="center"/>
          </w:tcPr>
          <w:p w14:paraId="30B39E69" w14:textId="77777777" w:rsidR="0001149F" w:rsidRPr="001E7327" w:rsidRDefault="0001149F" w:rsidP="00D5094A">
            <w:pPr>
              <w:spacing w:before="80" w:after="80"/>
              <w:rPr>
                <w:sz w:val="20"/>
                <w:szCs w:val="20"/>
              </w:rPr>
            </w:pPr>
            <w:r w:rsidRPr="001E7327">
              <w:rPr>
                <w:sz w:val="20"/>
                <w:szCs w:val="20"/>
              </w:rPr>
              <w:t>Can access age-appropriate content with support</w:t>
            </w:r>
          </w:p>
        </w:tc>
      </w:tr>
      <w:tr w:rsidR="0001149F" w14:paraId="4511CC1C" w14:textId="77777777" w:rsidTr="00D5094A">
        <w:trPr>
          <w:trHeight w:val="397"/>
        </w:trPr>
        <w:tc>
          <w:tcPr>
            <w:tcW w:w="846" w:type="dxa"/>
            <w:vAlign w:val="center"/>
          </w:tcPr>
          <w:p w14:paraId="6A43880A" w14:textId="77777777" w:rsidR="0001149F" w:rsidRPr="001E7327" w:rsidRDefault="0001149F" w:rsidP="00D5094A">
            <w:pPr>
              <w:spacing w:before="80" w:after="80"/>
              <w:rPr>
                <w:sz w:val="20"/>
                <w:szCs w:val="20"/>
              </w:rPr>
            </w:pPr>
            <w:r w:rsidRPr="001E7327">
              <w:rPr>
                <w:sz w:val="20"/>
                <w:szCs w:val="20"/>
              </w:rPr>
              <w:t>EXS</w:t>
            </w:r>
          </w:p>
        </w:tc>
        <w:tc>
          <w:tcPr>
            <w:tcW w:w="3260" w:type="dxa"/>
            <w:vAlign w:val="center"/>
          </w:tcPr>
          <w:p w14:paraId="3BC6DE18" w14:textId="77777777" w:rsidR="0001149F" w:rsidRPr="001E7327" w:rsidRDefault="0001149F" w:rsidP="00D5094A">
            <w:pPr>
              <w:spacing w:before="80" w:after="80"/>
              <w:rPr>
                <w:sz w:val="20"/>
                <w:szCs w:val="20"/>
              </w:rPr>
            </w:pPr>
            <w:r w:rsidRPr="001E7327">
              <w:rPr>
                <w:sz w:val="20"/>
                <w:szCs w:val="20"/>
              </w:rPr>
              <w:t xml:space="preserve">Working at the </w:t>
            </w:r>
            <w:r w:rsidRPr="001E7327">
              <w:rPr>
                <w:b/>
                <w:bCs/>
                <w:sz w:val="20"/>
                <w:szCs w:val="20"/>
              </w:rPr>
              <w:t>ex</w:t>
            </w:r>
            <w:r w:rsidRPr="001E7327">
              <w:rPr>
                <w:sz w:val="20"/>
                <w:szCs w:val="20"/>
              </w:rPr>
              <w:t xml:space="preserve">pected </w:t>
            </w:r>
            <w:r w:rsidRPr="001E7327">
              <w:rPr>
                <w:b/>
                <w:bCs/>
                <w:sz w:val="20"/>
                <w:szCs w:val="20"/>
              </w:rPr>
              <w:t>s</w:t>
            </w:r>
            <w:r w:rsidRPr="001E7327">
              <w:rPr>
                <w:sz w:val="20"/>
                <w:szCs w:val="20"/>
              </w:rPr>
              <w:t>tandard</w:t>
            </w:r>
          </w:p>
        </w:tc>
        <w:tc>
          <w:tcPr>
            <w:tcW w:w="4910" w:type="dxa"/>
            <w:vAlign w:val="center"/>
          </w:tcPr>
          <w:p w14:paraId="57431F3A" w14:textId="77777777" w:rsidR="0001149F" w:rsidRPr="001E7327" w:rsidRDefault="0001149F" w:rsidP="00D5094A">
            <w:pPr>
              <w:spacing w:before="80" w:after="80"/>
              <w:rPr>
                <w:sz w:val="20"/>
                <w:szCs w:val="20"/>
              </w:rPr>
            </w:pPr>
            <w:r w:rsidRPr="001E7327">
              <w:rPr>
                <w:sz w:val="20"/>
                <w:szCs w:val="20"/>
              </w:rPr>
              <w:t>Can access age-appropriate content independently</w:t>
            </w:r>
          </w:p>
        </w:tc>
      </w:tr>
      <w:tr w:rsidR="001C5564" w14:paraId="5DE5C273" w14:textId="77777777" w:rsidTr="00D5094A">
        <w:trPr>
          <w:trHeight w:val="397"/>
        </w:trPr>
        <w:tc>
          <w:tcPr>
            <w:tcW w:w="846" w:type="dxa"/>
            <w:vAlign w:val="center"/>
          </w:tcPr>
          <w:p w14:paraId="2033B123" w14:textId="4E2BBF3A" w:rsidR="001C5564" w:rsidRPr="001E7327" w:rsidRDefault="001C5564" w:rsidP="00D5094A">
            <w:pPr>
              <w:spacing w:before="80" w:after="80"/>
              <w:rPr>
                <w:sz w:val="20"/>
                <w:szCs w:val="20"/>
              </w:rPr>
            </w:pPr>
            <w:r>
              <w:rPr>
                <w:sz w:val="20"/>
                <w:szCs w:val="20"/>
              </w:rPr>
              <w:t>GDS</w:t>
            </w:r>
          </w:p>
        </w:tc>
        <w:tc>
          <w:tcPr>
            <w:tcW w:w="3260" w:type="dxa"/>
            <w:vAlign w:val="center"/>
          </w:tcPr>
          <w:p w14:paraId="7A1F5E0F" w14:textId="529FB695" w:rsidR="001C5564" w:rsidRPr="001E7327" w:rsidRDefault="001C5564" w:rsidP="00D5094A">
            <w:pPr>
              <w:spacing w:before="80" w:after="80"/>
              <w:rPr>
                <w:sz w:val="20"/>
                <w:szCs w:val="20"/>
              </w:rPr>
            </w:pPr>
            <w:r>
              <w:rPr>
                <w:sz w:val="20"/>
                <w:szCs w:val="20"/>
              </w:rPr>
              <w:t xml:space="preserve">Working at </w:t>
            </w:r>
            <w:r w:rsidRPr="001C5564">
              <w:rPr>
                <w:b/>
                <w:bCs/>
                <w:sz w:val="20"/>
                <w:szCs w:val="20"/>
              </w:rPr>
              <w:t>g</w:t>
            </w:r>
            <w:r>
              <w:rPr>
                <w:sz w:val="20"/>
                <w:szCs w:val="20"/>
              </w:rPr>
              <w:t xml:space="preserve">reater </w:t>
            </w:r>
            <w:r w:rsidRPr="001C5564">
              <w:rPr>
                <w:b/>
                <w:bCs/>
                <w:sz w:val="20"/>
                <w:szCs w:val="20"/>
              </w:rPr>
              <w:t>d</w:t>
            </w:r>
            <w:r>
              <w:rPr>
                <w:sz w:val="20"/>
                <w:szCs w:val="20"/>
              </w:rPr>
              <w:t xml:space="preserve">epth within the expected </w:t>
            </w:r>
            <w:r w:rsidRPr="001C5564">
              <w:rPr>
                <w:b/>
                <w:bCs/>
                <w:sz w:val="20"/>
                <w:szCs w:val="20"/>
              </w:rPr>
              <w:t>s</w:t>
            </w:r>
            <w:r>
              <w:rPr>
                <w:sz w:val="20"/>
                <w:szCs w:val="20"/>
              </w:rPr>
              <w:t>tandard</w:t>
            </w:r>
          </w:p>
        </w:tc>
        <w:tc>
          <w:tcPr>
            <w:tcW w:w="4910" w:type="dxa"/>
            <w:vAlign w:val="center"/>
          </w:tcPr>
          <w:p w14:paraId="20685731" w14:textId="6E4179C1" w:rsidR="001C5564" w:rsidRPr="001E7327" w:rsidRDefault="00346096" w:rsidP="00D5094A">
            <w:pPr>
              <w:spacing w:before="80" w:after="80"/>
              <w:rPr>
                <w:sz w:val="20"/>
                <w:szCs w:val="20"/>
              </w:rPr>
            </w:pPr>
            <w:r w:rsidRPr="001E7327">
              <w:rPr>
                <w:sz w:val="20"/>
                <w:szCs w:val="20"/>
              </w:rPr>
              <w:t xml:space="preserve">Can access age-appropriate content </w:t>
            </w:r>
            <w:r>
              <w:rPr>
                <w:sz w:val="20"/>
                <w:szCs w:val="20"/>
              </w:rPr>
              <w:t>very securely</w:t>
            </w:r>
            <w:r w:rsidR="00F469BC">
              <w:rPr>
                <w:sz w:val="20"/>
                <w:szCs w:val="20"/>
              </w:rPr>
              <w:t xml:space="preserve"> and apply it to different contexts</w:t>
            </w:r>
          </w:p>
        </w:tc>
      </w:tr>
    </w:tbl>
    <w:p w14:paraId="45205DC3" w14:textId="77777777" w:rsidR="009C2040" w:rsidRDefault="009C2040" w:rsidP="005B5DD6">
      <w:pPr>
        <w:jc w:val="both"/>
        <w:rPr>
          <w:sz w:val="22"/>
          <w:szCs w:val="22"/>
        </w:rPr>
      </w:pPr>
    </w:p>
    <w:p w14:paraId="0CC70FB8" w14:textId="5C0A895E" w:rsidR="005B5DD6" w:rsidRPr="005B5DD6" w:rsidRDefault="005B5DD6" w:rsidP="009E0988">
      <w:pPr>
        <w:spacing w:line="264" w:lineRule="auto"/>
        <w:jc w:val="both"/>
        <w:rPr>
          <w:i/>
          <w:iCs/>
          <w:sz w:val="22"/>
          <w:szCs w:val="22"/>
        </w:rPr>
      </w:pPr>
      <w:r w:rsidRPr="005B5DD6">
        <w:rPr>
          <w:i/>
          <w:iCs/>
          <w:sz w:val="22"/>
          <w:szCs w:val="22"/>
        </w:rPr>
        <w:t>Thank you for your continued support as we align our assessment approach across the Trust. These changes are designed to ensure that all judgements are consistent, fair, and focused on helping every child achieve their best.</w:t>
      </w:r>
    </w:p>
    <w:sectPr w:rsidR="005B5DD6" w:rsidRPr="005B5DD6" w:rsidSect="009559D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3E95" w14:textId="77777777" w:rsidR="00BF5A8C" w:rsidRDefault="00BF5A8C" w:rsidP="00BF5A8C">
      <w:pPr>
        <w:spacing w:after="0" w:line="240" w:lineRule="auto"/>
      </w:pPr>
      <w:r>
        <w:separator/>
      </w:r>
    </w:p>
  </w:endnote>
  <w:endnote w:type="continuationSeparator" w:id="0">
    <w:p w14:paraId="08B2F323" w14:textId="77777777" w:rsidR="00BF5A8C" w:rsidRDefault="00BF5A8C" w:rsidP="00BF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4F42" w14:textId="77777777" w:rsidR="00BF5A8C" w:rsidRDefault="00BF5A8C" w:rsidP="00BF5A8C">
      <w:pPr>
        <w:spacing w:after="0" w:line="240" w:lineRule="auto"/>
      </w:pPr>
      <w:r>
        <w:separator/>
      </w:r>
    </w:p>
  </w:footnote>
  <w:footnote w:type="continuationSeparator" w:id="0">
    <w:p w14:paraId="331648F1" w14:textId="77777777" w:rsidR="00BF5A8C" w:rsidRDefault="00BF5A8C" w:rsidP="00BF5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0CB3" w14:textId="4A203D70" w:rsidR="00BF5A8C" w:rsidRDefault="00BF5A8C">
    <w:pPr>
      <w:pStyle w:val="Header"/>
    </w:pPr>
    <w:r>
      <w:rPr>
        <w:noProof/>
      </w:rPr>
      <w:drawing>
        <wp:anchor distT="0" distB="0" distL="114300" distR="114300" simplePos="0" relativeHeight="251658240" behindDoc="0" locked="0" layoutInCell="1" allowOverlap="1" wp14:anchorId="51E1D4BE" wp14:editId="40B2306C">
          <wp:simplePos x="0" y="0"/>
          <wp:positionH relativeFrom="column">
            <wp:posOffset>2886075</wp:posOffset>
          </wp:positionH>
          <wp:positionV relativeFrom="paragraph">
            <wp:posOffset>-86360</wp:posOffset>
          </wp:positionV>
          <wp:extent cx="2860040" cy="390525"/>
          <wp:effectExtent l="0" t="0" r="0" b="0"/>
          <wp:wrapNone/>
          <wp:docPr id="53855679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56797" name="Picture 1" descr="A black background with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0040" cy="390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28EF"/>
    <w:multiLevelType w:val="hybridMultilevel"/>
    <w:tmpl w:val="05A4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07"/>
    <w:rsid w:val="0001149F"/>
    <w:rsid w:val="00021A37"/>
    <w:rsid w:val="00077C1D"/>
    <w:rsid w:val="000D60E5"/>
    <w:rsid w:val="00151981"/>
    <w:rsid w:val="001C5564"/>
    <w:rsid w:val="001E3B5F"/>
    <w:rsid w:val="001E7327"/>
    <w:rsid w:val="0021798E"/>
    <w:rsid w:val="00291F5A"/>
    <w:rsid w:val="002E0B8E"/>
    <w:rsid w:val="00307961"/>
    <w:rsid w:val="00346096"/>
    <w:rsid w:val="00404C40"/>
    <w:rsid w:val="004453E3"/>
    <w:rsid w:val="0048034A"/>
    <w:rsid w:val="00486016"/>
    <w:rsid w:val="004B2E99"/>
    <w:rsid w:val="004C45A8"/>
    <w:rsid w:val="004E7096"/>
    <w:rsid w:val="005854AC"/>
    <w:rsid w:val="00587EB8"/>
    <w:rsid w:val="005B5DD6"/>
    <w:rsid w:val="0060709F"/>
    <w:rsid w:val="0066471A"/>
    <w:rsid w:val="00686658"/>
    <w:rsid w:val="006A04F3"/>
    <w:rsid w:val="006A19B8"/>
    <w:rsid w:val="007003CF"/>
    <w:rsid w:val="00712860"/>
    <w:rsid w:val="007209DC"/>
    <w:rsid w:val="007264D0"/>
    <w:rsid w:val="00754C52"/>
    <w:rsid w:val="00827B1B"/>
    <w:rsid w:val="00836F8D"/>
    <w:rsid w:val="008902A3"/>
    <w:rsid w:val="008A4CE2"/>
    <w:rsid w:val="008E21B9"/>
    <w:rsid w:val="008F4207"/>
    <w:rsid w:val="008F64B9"/>
    <w:rsid w:val="00927CEC"/>
    <w:rsid w:val="009559D4"/>
    <w:rsid w:val="00957C2B"/>
    <w:rsid w:val="009A174A"/>
    <w:rsid w:val="009C2040"/>
    <w:rsid w:val="009E0988"/>
    <w:rsid w:val="00A63FD4"/>
    <w:rsid w:val="00A70746"/>
    <w:rsid w:val="00A72D4D"/>
    <w:rsid w:val="00AA6D32"/>
    <w:rsid w:val="00B33255"/>
    <w:rsid w:val="00BB2C5D"/>
    <w:rsid w:val="00BB7321"/>
    <w:rsid w:val="00BF5A8C"/>
    <w:rsid w:val="00C13ACD"/>
    <w:rsid w:val="00D35BD0"/>
    <w:rsid w:val="00D530CA"/>
    <w:rsid w:val="00D674C4"/>
    <w:rsid w:val="00D911F8"/>
    <w:rsid w:val="00DE32F2"/>
    <w:rsid w:val="00DE626E"/>
    <w:rsid w:val="00DF6E17"/>
    <w:rsid w:val="00DF79B2"/>
    <w:rsid w:val="00E13A0C"/>
    <w:rsid w:val="00E26F9F"/>
    <w:rsid w:val="00EF0EAB"/>
    <w:rsid w:val="00F4416A"/>
    <w:rsid w:val="00F469BC"/>
    <w:rsid w:val="00F9241F"/>
    <w:rsid w:val="00FA2649"/>
    <w:rsid w:val="00FF3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0518"/>
  <w15:chartTrackingRefBased/>
  <w15:docId w15:val="{E0A2D826-4B7A-47A1-B235-D47E3C49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3E3"/>
    <w:pPr>
      <w:keepNext/>
      <w:keepLines/>
      <w:spacing w:before="240" w:after="80"/>
      <w:outlineLvl w:val="0"/>
    </w:pPr>
    <w:rPr>
      <w:rFonts w:asciiTheme="majorHAnsi" w:eastAsiaTheme="majorEastAsia" w:hAnsiTheme="majorHAnsi" w:cstheme="majorBidi"/>
      <w:b/>
      <w:color w:val="00768A"/>
      <w:sz w:val="32"/>
      <w:szCs w:val="40"/>
    </w:rPr>
  </w:style>
  <w:style w:type="paragraph" w:styleId="Heading2">
    <w:name w:val="heading 2"/>
    <w:basedOn w:val="Normal"/>
    <w:next w:val="Normal"/>
    <w:link w:val="Heading2Char"/>
    <w:uiPriority w:val="9"/>
    <w:unhideWhenUsed/>
    <w:qFormat/>
    <w:rsid w:val="00BF5A8C"/>
    <w:pPr>
      <w:keepNext/>
      <w:keepLines/>
      <w:spacing w:before="160" w:after="120"/>
      <w:outlineLvl w:val="1"/>
    </w:pPr>
    <w:rPr>
      <w:rFonts w:asciiTheme="majorHAnsi" w:eastAsiaTheme="majorEastAsia" w:hAnsiTheme="majorHAnsi" w:cstheme="majorBidi"/>
      <w:b/>
      <w:color w:val="00768A"/>
      <w:sz w:val="26"/>
      <w:szCs w:val="32"/>
    </w:rPr>
  </w:style>
  <w:style w:type="paragraph" w:styleId="Heading3">
    <w:name w:val="heading 3"/>
    <w:basedOn w:val="Normal"/>
    <w:next w:val="Normal"/>
    <w:link w:val="Heading3Char"/>
    <w:uiPriority w:val="9"/>
    <w:semiHidden/>
    <w:unhideWhenUsed/>
    <w:qFormat/>
    <w:rsid w:val="008F4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3E3"/>
    <w:rPr>
      <w:rFonts w:asciiTheme="majorHAnsi" w:eastAsiaTheme="majorEastAsia" w:hAnsiTheme="majorHAnsi" w:cstheme="majorBidi"/>
      <w:b/>
      <w:color w:val="00768A"/>
      <w:sz w:val="32"/>
      <w:szCs w:val="40"/>
    </w:rPr>
  </w:style>
  <w:style w:type="character" w:customStyle="1" w:styleId="Heading2Char">
    <w:name w:val="Heading 2 Char"/>
    <w:basedOn w:val="DefaultParagraphFont"/>
    <w:link w:val="Heading2"/>
    <w:uiPriority w:val="9"/>
    <w:rsid w:val="00BF5A8C"/>
    <w:rPr>
      <w:rFonts w:asciiTheme="majorHAnsi" w:eastAsiaTheme="majorEastAsia" w:hAnsiTheme="majorHAnsi" w:cstheme="majorBidi"/>
      <w:b/>
      <w:color w:val="00768A"/>
      <w:sz w:val="26"/>
      <w:szCs w:val="32"/>
    </w:rPr>
  </w:style>
  <w:style w:type="character" w:customStyle="1" w:styleId="Heading3Char">
    <w:name w:val="Heading 3 Char"/>
    <w:basedOn w:val="DefaultParagraphFont"/>
    <w:link w:val="Heading3"/>
    <w:uiPriority w:val="9"/>
    <w:semiHidden/>
    <w:rsid w:val="008F4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207"/>
    <w:rPr>
      <w:rFonts w:eastAsiaTheme="majorEastAsia" w:cstheme="majorBidi"/>
      <w:color w:val="272727" w:themeColor="text1" w:themeTint="D8"/>
    </w:rPr>
  </w:style>
  <w:style w:type="paragraph" w:styleId="Title">
    <w:name w:val="Title"/>
    <w:basedOn w:val="Normal"/>
    <w:next w:val="Normal"/>
    <w:link w:val="TitleChar"/>
    <w:uiPriority w:val="10"/>
    <w:qFormat/>
    <w:rsid w:val="008F4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207"/>
    <w:pPr>
      <w:spacing w:before="160"/>
      <w:jc w:val="center"/>
    </w:pPr>
    <w:rPr>
      <w:i/>
      <w:iCs/>
      <w:color w:val="404040" w:themeColor="text1" w:themeTint="BF"/>
    </w:rPr>
  </w:style>
  <w:style w:type="character" w:customStyle="1" w:styleId="QuoteChar">
    <w:name w:val="Quote Char"/>
    <w:basedOn w:val="DefaultParagraphFont"/>
    <w:link w:val="Quote"/>
    <w:uiPriority w:val="29"/>
    <w:rsid w:val="008F4207"/>
    <w:rPr>
      <w:i/>
      <w:iCs/>
      <w:color w:val="404040" w:themeColor="text1" w:themeTint="BF"/>
    </w:rPr>
  </w:style>
  <w:style w:type="paragraph" w:styleId="ListParagraph">
    <w:name w:val="List Paragraph"/>
    <w:basedOn w:val="Normal"/>
    <w:uiPriority w:val="34"/>
    <w:qFormat/>
    <w:rsid w:val="008F4207"/>
    <w:pPr>
      <w:ind w:left="720"/>
      <w:contextualSpacing/>
    </w:pPr>
  </w:style>
  <w:style w:type="character" w:styleId="IntenseEmphasis">
    <w:name w:val="Intense Emphasis"/>
    <w:basedOn w:val="DefaultParagraphFont"/>
    <w:uiPriority w:val="21"/>
    <w:qFormat/>
    <w:rsid w:val="008F4207"/>
    <w:rPr>
      <w:i/>
      <w:iCs/>
      <w:color w:val="0F4761" w:themeColor="accent1" w:themeShade="BF"/>
    </w:rPr>
  </w:style>
  <w:style w:type="paragraph" w:styleId="IntenseQuote">
    <w:name w:val="Intense Quote"/>
    <w:basedOn w:val="Normal"/>
    <w:next w:val="Normal"/>
    <w:link w:val="IntenseQuoteChar"/>
    <w:uiPriority w:val="30"/>
    <w:qFormat/>
    <w:rsid w:val="008F4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207"/>
    <w:rPr>
      <w:i/>
      <w:iCs/>
      <w:color w:val="0F4761" w:themeColor="accent1" w:themeShade="BF"/>
    </w:rPr>
  </w:style>
  <w:style w:type="character" w:styleId="IntenseReference">
    <w:name w:val="Intense Reference"/>
    <w:basedOn w:val="DefaultParagraphFont"/>
    <w:uiPriority w:val="32"/>
    <w:qFormat/>
    <w:rsid w:val="008F4207"/>
    <w:rPr>
      <w:b/>
      <w:bCs/>
      <w:smallCaps/>
      <w:color w:val="0F4761" w:themeColor="accent1" w:themeShade="BF"/>
      <w:spacing w:val="5"/>
    </w:rPr>
  </w:style>
  <w:style w:type="paragraph" w:styleId="Header">
    <w:name w:val="header"/>
    <w:basedOn w:val="Normal"/>
    <w:link w:val="HeaderChar"/>
    <w:uiPriority w:val="99"/>
    <w:unhideWhenUsed/>
    <w:rsid w:val="00BF5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8C"/>
  </w:style>
  <w:style w:type="paragraph" w:styleId="Footer">
    <w:name w:val="footer"/>
    <w:basedOn w:val="Normal"/>
    <w:link w:val="FooterChar"/>
    <w:uiPriority w:val="99"/>
    <w:unhideWhenUsed/>
    <w:rsid w:val="00BF5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8C"/>
  </w:style>
  <w:style w:type="table" w:styleId="TableGrid">
    <w:name w:val="Table Grid"/>
    <w:basedOn w:val="TableNormal"/>
    <w:uiPriority w:val="39"/>
    <w:rsid w:val="00827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071B998AE0746859ED8A1C9C3738E" ma:contentTypeVersion="9" ma:contentTypeDescription="Create a new document." ma:contentTypeScope="" ma:versionID="2cd0ffa1f8ac77ad4ae394c7569cf29d">
  <xsd:schema xmlns:xsd="http://www.w3.org/2001/XMLSchema" xmlns:xs="http://www.w3.org/2001/XMLSchema" xmlns:p="http://schemas.microsoft.com/office/2006/metadata/properties" xmlns:ns2="b7df6d72-3cc5-4598-9e87-35168c7e159b" xmlns:ns3="b593d555-82ad-4a49-8c6a-50ddb7399df5" targetNamespace="http://schemas.microsoft.com/office/2006/metadata/properties" ma:root="true" ma:fieldsID="57ec4d11794a87aca22111e5ec7bb894" ns2:_="" ns3:_="">
    <xsd:import namespace="b7df6d72-3cc5-4598-9e87-35168c7e159b"/>
    <xsd:import namespace="b593d555-82ad-4a49-8c6a-50ddb7399d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f6d72-3cc5-4598-9e87-35168c7e1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3d555-82ad-4a49-8c6a-50ddb7399d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D0ED3-C384-460D-BE59-30AC41D93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f6d72-3cc5-4598-9e87-35168c7e159b"/>
    <ds:schemaRef ds:uri="b593d555-82ad-4a49-8c6a-50ddb7399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96912-2D45-4A1C-B3A5-4E7503FE8C5D}">
  <ds:schemaRefs>
    <ds:schemaRef ds:uri="http://schemas.microsoft.com/sharepoint/v3/contenttype/forms"/>
  </ds:schemaRefs>
</ds:datastoreItem>
</file>

<file path=customXml/itemProps3.xml><?xml version="1.0" encoding="utf-8"?>
<ds:datastoreItem xmlns:ds="http://schemas.openxmlformats.org/officeDocument/2006/customXml" ds:itemID="{20F8852E-0676-46DE-92BA-E2CAD77B3BCC}">
  <ds:schemaRefs>
    <ds:schemaRef ds:uri="b7df6d72-3cc5-4598-9e87-35168c7e159b"/>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b593d555-82ad-4a49-8c6a-50ddb7399d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Berry</dc:creator>
  <cp:keywords/>
  <dc:description/>
  <cp:lastModifiedBy>Kayleigh Hatherly</cp:lastModifiedBy>
  <cp:revision>2</cp:revision>
  <dcterms:created xsi:type="dcterms:W3CDTF">2025-12-16T11:36:00Z</dcterms:created>
  <dcterms:modified xsi:type="dcterms:W3CDTF">2025-12-16T11:36:00Z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0x0101004AF071B998AE0746859ED8A1C9C3738E</vt:lpwstr>
  </property>
</Properties>
</file>