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AC" w:rsidRPr="00856BA2" w:rsidRDefault="00A55DAC" w:rsidP="00A55DAC">
      <w:pPr>
        <w:jc w:val="center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EA732B6" wp14:editId="1F515F17">
            <wp:simplePos x="0" y="0"/>
            <wp:positionH relativeFrom="column">
              <wp:posOffset>-76200</wp:posOffset>
            </wp:positionH>
            <wp:positionV relativeFrom="paragraph">
              <wp:posOffset>-673100</wp:posOffset>
            </wp:positionV>
            <wp:extent cx="1227119" cy="1095555"/>
            <wp:effectExtent l="0" t="0" r="0" b="0"/>
            <wp:wrapNone/>
            <wp:docPr id="1" name="Picture 1" descr="http://img.cdn.schooljotter2.com/sampled/4801089/135/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cdn.schooljotter2.com/sampled/4801089/135/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19" cy="10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A732B6" wp14:editId="1F515F17">
            <wp:simplePos x="0" y="0"/>
            <wp:positionH relativeFrom="column">
              <wp:posOffset>7956550</wp:posOffset>
            </wp:positionH>
            <wp:positionV relativeFrom="paragraph">
              <wp:posOffset>-666750</wp:posOffset>
            </wp:positionV>
            <wp:extent cx="1227119" cy="1095555"/>
            <wp:effectExtent l="0" t="0" r="0" b="0"/>
            <wp:wrapNone/>
            <wp:docPr id="5" name="Picture 5" descr="http://img.cdn.schooljotter2.com/sampled/4801089/135/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cdn.schooljotter2.com/sampled/4801089/135/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19" cy="10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667E0940">
        <w:rPr>
          <w:sz w:val="32"/>
          <w:szCs w:val="32"/>
        </w:rPr>
        <w:t>Normanton</w:t>
      </w:r>
      <w:proofErr w:type="spellEnd"/>
      <w:r w:rsidRPr="667E0940">
        <w:rPr>
          <w:sz w:val="32"/>
          <w:szCs w:val="32"/>
        </w:rPr>
        <w:t xml:space="preserve"> Common Primar</w:t>
      </w:r>
      <w:r>
        <w:rPr>
          <w:sz w:val="32"/>
          <w:szCs w:val="32"/>
        </w:rPr>
        <w:t>y Academy – Swimming</w:t>
      </w:r>
    </w:p>
    <w:p w:rsidR="000935A9" w:rsidRDefault="000935A9" w:rsidP="00A55DAC">
      <w:pPr>
        <w:tabs>
          <w:tab w:val="left" w:pos="4530"/>
        </w:tabs>
      </w:pPr>
    </w:p>
    <w:p w:rsidR="00A55DAC" w:rsidRDefault="00A55DAC" w:rsidP="00A55DAC">
      <w:pPr>
        <w:tabs>
          <w:tab w:val="left" w:pos="4530"/>
        </w:tabs>
      </w:pPr>
    </w:p>
    <w:p w:rsidR="00A55DAC" w:rsidRDefault="00A55DAC" w:rsidP="00A55DAC">
      <w:pPr>
        <w:tabs>
          <w:tab w:val="left" w:pos="4530"/>
        </w:tabs>
      </w:pPr>
    </w:p>
    <w:tbl>
      <w:tblPr>
        <w:tblpPr w:leftFromText="180" w:rightFromText="180" w:vertAnchor="page" w:horzAnchor="margin" w:tblpXSpec="center" w:tblpY="3881"/>
        <w:tblW w:w="14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2974"/>
      </w:tblGrid>
      <w:tr w:rsidR="00A55DAC" w:rsidTr="00A55DAC">
        <w:trPr>
          <w:trHeight w:val="400"/>
        </w:trPr>
        <w:tc>
          <w:tcPr>
            <w:tcW w:w="11634" w:type="dxa"/>
          </w:tcPr>
          <w:p w:rsidR="00A55DAC" w:rsidRDefault="00A55DAC" w:rsidP="00A55DA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2974" w:type="dxa"/>
          </w:tcPr>
          <w:p w:rsidR="00A55DAC" w:rsidRDefault="00A55DAC" w:rsidP="00A55DAC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Percentage of Cohort</w:t>
            </w:r>
          </w:p>
          <w:p w:rsidR="00A55DAC" w:rsidRDefault="00A55DAC" w:rsidP="00A55DAC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A55DAC" w:rsidTr="00A55DAC">
        <w:trPr>
          <w:trHeight w:val="1100"/>
        </w:trPr>
        <w:tc>
          <w:tcPr>
            <w:tcW w:w="11634" w:type="dxa"/>
          </w:tcPr>
          <w:p w:rsidR="00A55DAC" w:rsidRDefault="00A55DAC" w:rsidP="00A55DAC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2974" w:type="dxa"/>
          </w:tcPr>
          <w:p w:rsidR="00A55DAC" w:rsidRDefault="002F7FC5" w:rsidP="00A55DA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72%</w:t>
            </w:r>
          </w:p>
        </w:tc>
      </w:tr>
      <w:tr w:rsidR="00A55DAC" w:rsidTr="00A55DAC">
        <w:trPr>
          <w:trHeight w:val="1280"/>
        </w:trPr>
        <w:tc>
          <w:tcPr>
            <w:tcW w:w="11634" w:type="dxa"/>
          </w:tcPr>
          <w:p w:rsidR="00A55DAC" w:rsidRDefault="00A55DAC" w:rsidP="00A55DAC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2974" w:type="dxa"/>
          </w:tcPr>
          <w:p w:rsidR="00A55DAC" w:rsidRDefault="002F7FC5" w:rsidP="00A55DA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67%</w:t>
            </w:r>
          </w:p>
        </w:tc>
      </w:tr>
      <w:tr w:rsidR="00A55DAC" w:rsidTr="00A55DAC">
        <w:trPr>
          <w:trHeight w:val="1200"/>
        </w:trPr>
        <w:tc>
          <w:tcPr>
            <w:tcW w:w="11634" w:type="dxa"/>
          </w:tcPr>
          <w:p w:rsidR="00A55DAC" w:rsidRDefault="00A55DAC" w:rsidP="00A55DAC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2974" w:type="dxa"/>
          </w:tcPr>
          <w:p w:rsidR="00A55DAC" w:rsidRDefault="002F7FC5" w:rsidP="00A55DA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72%</w:t>
            </w:r>
            <w:bookmarkStart w:id="0" w:name="_GoBack"/>
            <w:bookmarkEnd w:id="0"/>
          </w:p>
        </w:tc>
      </w:tr>
      <w:tr w:rsidR="00A55DAC" w:rsidTr="00A55DAC">
        <w:trPr>
          <w:trHeight w:val="1220"/>
        </w:trPr>
        <w:tc>
          <w:tcPr>
            <w:tcW w:w="11634" w:type="dxa"/>
          </w:tcPr>
          <w:p w:rsidR="00A55DAC" w:rsidRDefault="00A55DAC" w:rsidP="00A55DAC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2974" w:type="dxa"/>
          </w:tcPr>
          <w:p w:rsidR="00A55DAC" w:rsidRDefault="00A55DAC" w:rsidP="00A55DA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Yes/</w:t>
            </w:r>
            <w:r w:rsidRPr="00A55DAC">
              <w:rPr>
                <w:b/>
                <w:color w:val="231F20"/>
                <w:sz w:val="26"/>
              </w:rPr>
              <w:t>No</w:t>
            </w:r>
          </w:p>
        </w:tc>
      </w:tr>
    </w:tbl>
    <w:p w:rsidR="00A55DAC" w:rsidRPr="00A55DAC" w:rsidRDefault="00A55DAC" w:rsidP="00A55DAC">
      <w:pPr>
        <w:tabs>
          <w:tab w:val="left" w:pos="4530"/>
        </w:tabs>
        <w:rPr>
          <w:sz w:val="24"/>
        </w:rPr>
      </w:pPr>
      <w:r w:rsidRPr="00A55DAC">
        <w:rPr>
          <w:sz w:val="24"/>
        </w:rPr>
        <w:t xml:space="preserve">At </w:t>
      </w:r>
      <w:proofErr w:type="spellStart"/>
      <w:r w:rsidRPr="00A55DAC">
        <w:rPr>
          <w:sz w:val="24"/>
        </w:rPr>
        <w:t>Normanton</w:t>
      </w:r>
      <w:proofErr w:type="spellEnd"/>
      <w:r w:rsidRPr="00A55DAC">
        <w:rPr>
          <w:sz w:val="24"/>
        </w:rPr>
        <w:t xml:space="preserve"> Common our children go swimming in Year 5. The children are exposed to one full academic year of swimming. Opportunities for children to continue this provision in Year 6 are available when required. </w:t>
      </w:r>
    </w:p>
    <w:sectPr w:rsidR="00A55DAC" w:rsidRPr="00A55DAC" w:rsidSect="00A55D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AC"/>
    <w:rsid w:val="000935A9"/>
    <w:rsid w:val="0012359D"/>
    <w:rsid w:val="002F7FC5"/>
    <w:rsid w:val="004D33AE"/>
    <w:rsid w:val="0090360F"/>
    <w:rsid w:val="00A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0E37"/>
  <w15:chartTrackingRefBased/>
  <w15:docId w15:val="{CF91C0B7-D84F-48E3-954A-4BFC1111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5D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LukeOldroyd</dc:creator>
  <cp:keywords/>
  <dc:description/>
  <cp:lastModifiedBy>LukeOldroyd</cp:lastModifiedBy>
  <cp:revision>2</cp:revision>
  <dcterms:created xsi:type="dcterms:W3CDTF">2019-07-19T18:01:00Z</dcterms:created>
  <dcterms:modified xsi:type="dcterms:W3CDTF">2019-07-19T18:01:00Z</dcterms:modified>
</cp:coreProperties>
</file>