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51" w:rsidRDefault="00A20451">
      <w:bookmarkStart w:id="0" w:name="_GoBack"/>
      <w:bookmarkEnd w:id="0"/>
    </w:p>
    <w:p w:rsidR="00A20451" w:rsidRDefault="00A20451" w:rsidP="00A20451">
      <w:pPr>
        <w:jc w:val="right"/>
        <w:rPr>
          <w:rFonts w:ascii="Calibri" w:hAnsi="Calibri" w:cs="Calibri"/>
        </w:rPr>
      </w:pPr>
      <w:r>
        <w:rPr>
          <w:rFonts w:ascii="Calibri" w:hAnsi="Calibri" w:cs="Calibri"/>
        </w:rPr>
        <w:t>Friday 1</w:t>
      </w:r>
      <w:r w:rsidRPr="00A20451">
        <w:rPr>
          <w:rFonts w:ascii="Calibri" w:hAnsi="Calibri" w:cs="Calibri"/>
          <w:vertAlign w:val="superscript"/>
        </w:rPr>
        <w:t>st</w:t>
      </w:r>
      <w:r>
        <w:rPr>
          <w:rFonts w:ascii="Calibri" w:hAnsi="Calibri" w:cs="Calibri"/>
        </w:rPr>
        <w:t xml:space="preserve"> April 2022</w:t>
      </w:r>
    </w:p>
    <w:p w:rsidR="00A20451" w:rsidRPr="00A20451" w:rsidRDefault="00A20451" w:rsidP="00A20451">
      <w:pPr>
        <w:rPr>
          <w:rFonts w:ascii="Calibri" w:hAnsi="Calibri" w:cs="Calibri"/>
          <w:b/>
        </w:rPr>
      </w:pPr>
      <w:r>
        <w:rPr>
          <w:rFonts w:ascii="Calibri" w:hAnsi="Calibri" w:cs="Calibri"/>
          <w:b/>
        </w:rPr>
        <w:t>R.E. Changes to Covid-19 Guidance</w:t>
      </w:r>
    </w:p>
    <w:p w:rsidR="00A20451" w:rsidRPr="00C93090" w:rsidRDefault="00A20451" w:rsidP="00A20451">
      <w:pPr>
        <w:rPr>
          <w:rFonts w:ascii="Calibri" w:hAnsi="Calibri" w:cs="Calibri"/>
        </w:rPr>
      </w:pPr>
      <w:r w:rsidRPr="00C93090">
        <w:rPr>
          <w:rFonts w:ascii="Calibri" w:hAnsi="Calibri" w:cs="Calibri"/>
        </w:rPr>
        <w:t xml:space="preserve">Dear Parents, Carers and Colleagues </w:t>
      </w:r>
    </w:p>
    <w:p w:rsidR="00A20451" w:rsidRDefault="00A20451" w:rsidP="00A20451">
      <w:pPr>
        <w:rPr>
          <w:rFonts w:ascii="Calibri" w:hAnsi="Calibri" w:cs="Calibri"/>
          <w:noProof/>
          <w:lang w:eastAsia="en-GB"/>
        </w:rPr>
      </w:pPr>
      <w:r>
        <w:rPr>
          <w:rFonts w:ascii="Calibri" w:hAnsi="Calibri" w:cs="Calibri"/>
          <w:noProof/>
          <w:lang w:eastAsia="en-GB"/>
        </w:rPr>
        <w:t>As I am sure you are aware through recent announcements, there has been a further update to the government guidance around Covid-19. From Friday 1</w:t>
      </w:r>
      <w:r w:rsidRPr="00A20451">
        <w:rPr>
          <w:rFonts w:ascii="Calibri" w:hAnsi="Calibri" w:cs="Calibri"/>
          <w:noProof/>
          <w:vertAlign w:val="superscript"/>
          <w:lang w:eastAsia="en-GB"/>
        </w:rPr>
        <w:t>st</w:t>
      </w:r>
      <w:r>
        <w:rPr>
          <w:rFonts w:ascii="Calibri" w:hAnsi="Calibri" w:cs="Calibri"/>
          <w:noProof/>
          <w:lang w:eastAsia="en-GB"/>
        </w:rPr>
        <w:t xml:space="preserve"> April, free lateral flow and PCR tests will no longer be widely available to the general public. Some individuals in specifically listed professions or with health conditions may still be able to access testing</w:t>
      </w:r>
      <w:r w:rsidR="00005217">
        <w:rPr>
          <w:rFonts w:ascii="Calibri" w:hAnsi="Calibri" w:cs="Calibri"/>
          <w:noProof/>
          <w:lang w:eastAsia="en-GB"/>
        </w:rPr>
        <w:t>.</w:t>
      </w:r>
    </w:p>
    <w:p w:rsidR="00A20451" w:rsidRDefault="00A20451" w:rsidP="00EF7375">
      <w:pPr>
        <w:rPr>
          <w:rFonts w:ascii="Calibri" w:hAnsi="Calibri" w:cs="Calibri"/>
          <w:noProof/>
          <w:lang w:eastAsia="en-GB"/>
        </w:rPr>
      </w:pPr>
      <w:r>
        <w:rPr>
          <w:rFonts w:ascii="Calibri" w:hAnsi="Calibri" w:cs="Calibri"/>
          <w:noProof/>
          <w:lang w:eastAsia="en-GB"/>
        </w:rPr>
        <w:t xml:space="preserve">We do acknowledge that many people will have lateral flow test kits in their home already, or may choose to purchase test kits if they are concerned about potential infection. </w:t>
      </w:r>
      <w:r w:rsidR="00EF7375">
        <w:rPr>
          <w:rFonts w:ascii="Calibri" w:hAnsi="Calibri" w:cs="Calibri"/>
          <w:noProof/>
          <w:lang w:eastAsia="en-GB"/>
        </w:rPr>
        <w:t xml:space="preserve">It is not a requirement to do so, however knowing whether an illness is Covid-19 may help you and your household to identify the most appropriate steps to take, including steps to protect the rest of the household. </w:t>
      </w:r>
      <w:r>
        <w:rPr>
          <w:rFonts w:ascii="Calibri" w:hAnsi="Calibri" w:cs="Calibri"/>
          <w:noProof/>
          <w:lang w:eastAsia="en-GB"/>
        </w:rPr>
        <w:t>The updated guidance does give different advice for individuals who have confirmed a positive case</w:t>
      </w:r>
      <w:r w:rsidR="00EF7375">
        <w:rPr>
          <w:rFonts w:ascii="Calibri" w:hAnsi="Calibri" w:cs="Calibri"/>
          <w:noProof/>
          <w:lang w:eastAsia="en-GB"/>
        </w:rPr>
        <w:t>, summarised in the grid overleaf.</w:t>
      </w:r>
      <w:r>
        <w:rPr>
          <w:rFonts w:ascii="Calibri" w:hAnsi="Calibri" w:cs="Calibri"/>
          <w:noProof/>
          <w:lang w:eastAsia="en-GB"/>
        </w:rPr>
        <w:t xml:space="preserve"> </w:t>
      </w:r>
    </w:p>
    <w:p w:rsidR="00EF7375" w:rsidRDefault="00EF7375" w:rsidP="00EF7375">
      <w:pPr>
        <w:rPr>
          <w:rFonts w:ascii="Calibri" w:hAnsi="Calibri" w:cs="Calibri"/>
          <w:noProof/>
          <w:lang w:eastAsia="en-GB"/>
        </w:rPr>
      </w:pPr>
      <w:r>
        <w:rPr>
          <w:rFonts w:ascii="Calibri" w:hAnsi="Calibri" w:cs="Calibri"/>
          <w:noProof/>
          <w:lang w:eastAsia="en-GB"/>
        </w:rPr>
        <w:t xml:space="preserve">Key points to be aware of are: </w:t>
      </w:r>
    </w:p>
    <w:p w:rsidR="00EF7375" w:rsidRPr="0009238C" w:rsidRDefault="00EF7375" w:rsidP="0009238C">
      <w:pPr>
        <w:pStyle w:val="ListParagraph"/>
        <w:numPr>
          <w:ilvl w:val="0"/>
          <w:numId w:val="1"/>
        </w:numPr>
        <w:rPr>
          <w:rFonts w:ascii="Calibri" w:hAnsi="Calibri" w:cs="Calibri"/>
          <w:noProof/>
          <w:lang w:eastAsia="en-GB"/>
        </w:rPr>
      </w:pPr>
      <w:r w:rsidRPr="0009238C">
        <w:rPr>
          <w:rFonts w:ascii="Calibri" w:hAnsi="Calibri" w:cs="Calibri"/>
          <w:noProof/>
          <w:lang w:eastAsia="en-GB"/>
        </w:rPr>
        <w:t xml:space="preserve">Adults with symptoms of respiritory illnesses should work from home where possible. In many roles this will not be possible, however staff should discuss this with line managers. If symptoms include a high temperature or an adult is too unwell to be in work they should remain home until there is no longer a high temperature and they feel well enough to return to work. The guidance differs if the adult has had a positive test, please see overleaf. </w:t>
      </w:r>
    </w:p>
    <w:p w:rsidR="00EF7375" w:rsidRPr="0009238C" w:rsidRDefault="00EF7375" w:rsidP="0009238C">
      <w:pPr>
        <w:pStyle w:val="ListParagraph"/>
        <w:numPr>
          <w:ilvl w:val="0"/>
          <w:numId w:val="1"/>
        </w:numPr>
        <w:rPr>
          <w:rFonts w:ascii="Calibri" w:hAnsi="Calibri" w:cs="Calibri"/>
          <w:noProof/>
          <w:lang w:eastAsia="en-GB"/>
        </w:rPr>
      </w:pPr>
      <w:r w:rsidRPr="0009238C">
        <w:rPr>
          <w:rFonts w:ascii="Calibri" w:hAnsi="Calibri" w:cs="Calibri"/>
          <w:noProof/>
          <w:lang w:eastAsia="en-GB"/>
        </w:rPr>
        <w:t xml:space="preserve">Children with mild symptoms who are well enough to attend school should come to school. This is not the case where the child has a high temperature, or is too unwell to attend. The guidance differs if the child has had a positive test, please see overleaf. </w:t>
      </w:r>
    </w:p>
    <w:p w:rsidR="00EF7375" w:rsidRPr="0009238C" w:rsidRDefault="00EF7375" w:rsidP="0009238C">
      <w:pPr>
        <w:pStyle w:val="ListParagraph"/>
        <w:numPr>
          <w:ilvl w:val="0"/>
          <w:numId w:val="1"/>
        </w:numPr>
        <w:rPr>
          <w:rFonts w:ascii="Calibri" w:hAnsi="Calibri" w:cs="Calibri"/>
          <w:noProof/>
          <w:lang w:eastAsia="en-GB"/>
        </w:rPr>
      </w:pPr>
      <w:r w:rsidRPr="0009238C">
        <w:rPr>
          <w:rFonts w:ascii="Calibri" w:hAnsi="Calibri" w:cs="Calibri"/>
          <w:noProof/>
          <w:lang w:eastAsia="en-GB"/>
        </w:rPr>
        <w:t xml:space="preserve">Children with positive tests can resume normal activities after 3 days, for adults this is 5 days. This is because the government have identified that children are unlikely to be infectious to others for as long as adults. </w:t>
      </w:r>
    </w:p>
    <w:p w:rsidR="00EF7375" w:rsidRDefault="00C26F35" w:rsidP="00EF7375">
      <w:pPr>
        <w:rPr>
          <w:rFonts w:ascii="Calibri" w:hAnsi="Calibri" w:cs="Calibri"/>
          <w:noProof/>
          <w:lang w:eastAsia="en-GB"/>
        </w:rPr>
      </w:pPr>
      <w:r>
        <w:rPr>
          <w:rFonts w:ascii="Calibri" w:hAnsi="Calibri" w:cs="Calibri"/>
          <w:noProof/>
          <w:lang w:eastAsia="en-GB"/>
        </w:rPr>
        <w:t xml:space="preserve">More information can be found by following the </w:t>
      </w:r>
      <w:r w:rsidR="00282204">
        <w:rPr>
          <w:rFonts w:ascii="Calibri" w:hAnsi="Calibri" w:cs="Calibri"/>
          <w:noProof/>
          <w:lang w:eastAsia="en-GB"/>
        </w:rPr>
        <w:t>below links</w:t>
      </w:r>
      <w:r w:rsidR="00EF7375">
        <w:rPr>
          <w:rFonts w:ascii="Calibri" w:hAnsi="Calibri" w:cs="Calibri"/>
          <w:noProof/>
          <w:lang w:eastAsia="en-GB"/>
        </w:rPr>
        <w:t xml:space="preserve">, including a list of symptoms of respiritory illnesses and examples of individuals who are still able to access free tests: </w:t>
      </w:r>
      <w:hyperlink r:id="rId7" w:history="1">
        <w:r w:rsidR="00EF7375" w:rsidRPr="007902CC">
          <w:rPr>
            <w:rStyle w:val="Hyperlink"/>
            <w:rFonts w:ascii="Calibri" w:hAnsi="Calibri" w:cs="Calibri"/>
            <w:noProof/>
            <w:lang w:eastAsia="en-GB"/>
          </w:rPr>
          <w:t>https://www.gov.uk/guidance/people-with-symptoms-of-a-respiratory-infection-including-covid-19</w:t>
        </w:r>
      </w:hyperlink>
      <w:r w:rsidR="00EF7375">
        <w:rPr>
          <w:rFonts w:ascii="Calibri" w:hAnsi="Calibri" w:cs="Calibri"/>
          <w:noProof/>
          <w:lang w:eastAsia="en-GB"/>
        </w:rPr>
        <w:t xml:space="preserve"> and </w:t>
      </w:r>
      <w:hyperlink r:id="rId8" w:history="1">
        <w:r w:rsidR="00EF7375" w:rsidRPr="007902CC">
          <w:rPr>
            <w:rStyle w:val="Hyperlink"/>
            <w:rFonts w:ascii="Calibri" w:hAnsi="Calibri" w:cs="Calibri"/>
            <w:noProof/>
            <w:lang w:eastAsia="en-GB"/>
          </w:rPr>
          <w:t>https://www.nhs.uk/conditions/coronavirus-covid-19/testing/get-tested-for-coronavirus/</w:t>
        </w:r>
      </w:hyperlink>
      <w:r w:rsidR="00EF7375">
        <w:rPr>
          <w:rFonts w:ascii="Calibri" w:hAnsi="Calibri" w:cs="Calibri"/>
          <w:noProof/>
          <w:lang w:eastAsia="en-GB"/>
        </w:rPr>
        <w:t xml:space="preserve"> </w:t>
      </w:r>
    </w:p>
    <w:p w:rsidR="00A20451" w:rsidRPr="00B028CD" w:rsidRDefault="00A20451" w:rsidP="00A20451">
      <w:pPr>
        <w:pStyle w:val="NormalWeb"/>
        <w:shd w:val="clear" w:color="auto" w:fill="FFFFFF"/>
        <w:spacing w:before="300" w:beforeAutospacing="0" w:after="300" w:afterAutospacing="0"/>
        <w:rPr>
          <w:rFonts w:ascii="Calibri" w:hAnsi="Calibri" w:cs="Calibri"/>
          <w:sz w:val="22"/>
          <w:szCs w:val="22"/>
        </w:rPr>
      </w:pPr>
      <w:r>
        <w:rPr>
          <w:rFonts w:ascii="Calibri" w:hAnsi="Calibri" w:cs="Calibri"/>
          <w:sz w:val="22"/>
          <w:szCs w:val="22"/>
        </w:rPr>
        <w:t xml:space="preserve">I would take this opportunity to once again thank you all for your support and patience during these changes. </w:t>
      </w:r>
    </w:p>
    <w:p w:rsidR="00A20451" w:rsidRPr="00C93090" w:rsidRDefault="00A20451" w:rsidP="00A20451">
      <w:pPr>
        <w:ind w:right="101"/>
        <w:rPr>
          <w:rFonts w:ascii="Calibri" w:hAnsi="Calibri" w:cs="Calibri"/>
          <w:snapToGrid w:val="0"/>
        </w:rPr>
      </w:pPr>
      <w:r w:rsidRPr="00C93090">
        <w:rPr>
          <w:rFonts w:ascii="Calibri" w:hAnsi="Calibri" w:cs="Calibri"/>
          <w:noProof/>
          <w:lang w:eastAsia="en-GB"/>
        </w:rPr>
        <w:drawing>
          <wp:anchor distT="0" distB="0" distL="114300" distR="114300" simplePos="0" relativeHeight="251659264" behindDoc="0" locked="0" layoutInCell="1" allowOverlap="1">
            <wp:simplePos x="0" y="0"/>
            <wp:positionH relativeFrom="margin">
              <wp:posOffset>-32385</wp:posOffset>
            </wp:positionH>
            <wp:positionV relativeFrom="paragraph">
              <wp:posOffset>187325</wp:posOffset>
            </wp:positionV>
            <wp:extent cx="1128395" cy="347345"/>
            <wp:effectExtent l="0" t="0" r="0" b="0"/>
            <wp:wrapNone/>
            <wp:docPr id="2" name="Picture 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l="11420" t="23497" r="28140" b="42078"/>
                    <a:stretch>
                      <a:fillRect/>
                    </a:stretch>
                  </pic:blipFill>
                  <pic:spPr bwMode="auto">
                    <a:xfrm>
                      <a:off x="0" y="0"/>
                      <a:ext cx="1128395" cy="34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3090">
        <w:rPr>
          <w:rFonts w:ascii="Calibri" w:hAnsi="Calibri" w:cs="Calibri"/>
          <w:snapToGrid w:val="0"/>
        </w:rPr>
        <w:t>Stay safe and well.</w:t>
      </w:r>
    </w:p>
    <w:p w:rsidR="00A20451" w:rsidRPr="00C93090" w:rsidRDefault="00A20451" w:rsidP="00A20451">
      <w:pPr>
        <w:ind w:right="101"/>
        <w:rPr>
          <w:rFonts w:ascii="Calibri" w:hAnsi="Calibri" w:cs="Calibri"/>
          <w:snapToGrid w:val="0"/>
        </w:rPr>
      </w:pPr>
    </w:p>
    <w:p w:rsidR="00A20451" w:rsidRPr="00C93090" w:rsidRDefault="00A20451" w:rsidP="00A20451">
      <w:pPr>
        <w:ind w:right="101"/>
        <w:rPr>
          <w:rFonts w:ascii="Calibri" w:hAnsi="Calibri" w:cs="Calibri"/>
          <w:snapToGrid w:val="0"/>
        </w:rPr>
      </w:pPr>
    </w:p>
    <w:p w:rsidR="00A20451" w:rsidRPr="00C93090" w:rsidRDefault="00A20451" w:rsidP="00A20451">
      <w:pPr>
        <w:pStyle w:val="NoSpacing"/>
        <w:rPr>
          <w:b w:val="0"/>
          <w:bCs/>
          <w:snapToGrid w:val="0"/>
          <w:sz w:val="22"/>
        </w:rPr>
      </w:pPr>
      <w:r w:rsidRPr="00C93090">
        <w:rPr>
          <w:b w:val="0"/>
          <w:bCs/>
          <w:snapToGrid w:val="0"/>
          <w:sz w:val="22"/>
        </w:rPr>
        <w:t>Mr. D Dickinson OBE</w:t>
      </w:r>
    </w:p>
    <w:p w:rsidR="00A20451" w:rsidRPr="00C93090" w:rsidRDefault="00A20451" w:rsidP="00A20451">
      <w:pPr>
        <w:pStyle w:val="NoSpacing"/>
        <w:rPr>
          <w:b w:val="0"/>
          <w:bCs/>
          <w:snapToGrid w:val="0"/>
          <w:sz w:val="22"/>
        </w:rPr>
      </w:pPr>
      <w:r w:rsidRPr="00C93090">
        <w:rPr>
          <w:b w:val="0"/>
          <w:bCs/>
          <w:snapToGrid w:val="0"/>
          <w:sz w:val="22"/>
        </w:rPr>
        <w:t>CEO</w:t>
      </w:r>
    </w:p>
    <w:p w:rsidR="008F277F" w:rsidRPr="00005217" w:rsidRDefault="00005217" w:rsidP="00005217">
      <w:pPr>
        <w:pStyle w:val="NoSpacing"/>
        <w:rPr>
          <w:b w:val="0"/>
          <w:bCs/>
          <w:snapToGrid w:val="0"/>
          <w:sz w:val="22"/>
        </w:rPr>
      </w:pPr>
      <w:r>
        <w:rPr>
          <w:b w:val="0"/>
          <w:bCs/>
          <w:snapToGrid w:val="0"/>
          <w:sz w:val="22"/>
        </w:rPr>
        <w:t>Waterton Academy Trust</w:t>
      </w:r>
    </w:p>
    <w:p w:rsidR="008F277F" w:rsidRDefault="008F277F"/>
    <w:tbl>
      <w:tblPr>
        <w:tblStyle w:val="TableGrid"/>
        <w:tblpPr w:leftFromText="180" w:rightFromText="180" w:vertAnchor="text" w:horzAnchor="margin" w:tblpXSpec="center" w:tblpY="238"/>
        <w:tblW w:w="10632" w:type="dxa"/>
        <w:tblLook w:val="04A0" w:firstRow="1" w:lastRow="0" w:firstColumn="1" w:lastColumn="0" w:noHBand="0" w:noVBand="1"/>
      </w:tblPr>
      <w:tblGrid>
        <w:gridCol w:w="993"/>
        <w:gridCol w:w="2409"/>
        <w:gridCol w:w="2410"/>
        <w:gridCol w:w="2410"/>
        <w:gridCol w:w="2410"/>
      </w:tblGrid>
      <w:tr w:rsidR="00425F65" w:rsidTr="00425F65">
        <w:tc>
          <w:tcPr>
            <w:tcW w:w="993" w:type="dxa"/>
            <w:tcBorders>
              <w:top w:val="single" w:sz="18" w:space="0" w:color="auto"/>
              <w:left w:val="single" w:sz="18" w:space="0" w:color="auto"/>
              <w:bottom w:val="single" w:sz="18" w:space="0" w:color="auto"/>
              <w:right w:val="single" w:sz="18" w:space="0" w:color="auto"/>
            </w:tcBorders>
            <w:shd w:val="clear" w:color="auto" w:fill="84ACBC"/>
          </w:tcPr>
          <w:p w:rsidR="00425F65" w:rsidRDefault="00425F65" w:rsidP="00425F65"/>
        </w:tc>
        <w:tc>
          <w:tcPr>
            <w:tcW w:w="2409" w:type="dxa"/>
            <w:tcBorders>
              <w:top w:val="single" w:sz="18" w:space="0" w:color="auto"/>
              <w:left w:val="single" w:sz="18" w:space="0" w:color="auto"/>
              <w:bottom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Adults with symptoms</w:t>
            </w:r>
          </w:p>
        </w:tc>
        <w:tc>
          <w:tcPr>
            <w:tcW w:w="2410" w:type="dxa"/>
            <w:tcBorders>
              <w:top w:val="single" w:sz="18" w:space="0" w:color="auto"/>
              <w:bottom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 xml:space="preserve">Adults with a positive test </w:t>
            </w:r>
          </w:p>
        </w:tc>
        <w:tc>
          <w:tcPr>
            <w:tcW w:w="2410" w:type="dxa"/>
            <w:tcBorders>
              <w:top w:val="single" w:sz="18" w:space="0" w:color="auto"/>
              <w:left w:val="single" w:sz="18" w:space="0" w:color="auto"/>
              <w:bottom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Children with symptoms</w:t>
            </w:r>
          </w:p>
        </w:tc>
        <w:tc>
          <w:tcPr>
            <w:tcW w:w="2410" w:type="dxa"/>
            <w:tcBorders>
              <w:top w:val="single" w:sz="18" w:space="0" w:color="auto"/>
              <w:bottom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 xml:space="preserve">Children with a positive test </w:t>
            </w:r>
          </w:p>
        </w:tc>
      </w:tr>
      <w:tr w:rsidR="00425F65" w:rsidTr="00425F65">
        <w:tc>
          <w:tcPr>
            <w:tcW w:w="993" w:type="dxa"/>
            <w:tcBorders>
              <w:top w:val="single" w:sz="18" w:space="0" w:color="auto"/>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0</w:t>
            </w:r>
          </w:p>
        </w:tc>
        <w:tc>
          <w:tcPr>
            <w:tcW w:w="2409" w:type="dxa"/>
            <w:tcBorders>
              <w:top w:val="single" w:sz="18" w:space="0" w:color="auto"/>
              <w:left w:val="single" w:sz="18" w:space="0" w:color="auto"/>
            </w:tcBorders>
            <w:shd w:val="clear" w:color="auto" w:fill="BFBFBF" w:themeFill="background1" w:themeFillShade="BF"/>
          </w:tcPr>
          <w:p w:rsidR="00425F65" w:rsidRDefault="00425F65" w:rsidP="00425F65">
            <w:r>
              <w:t>n/a</w:t>
            </w:r>
          </w:p>
        </w:tc>
        <w:tc>
          <w:tcPr>
            <w:tcW w:w="2410" w:type="dxa"/>
            <w:tcBorders>
              <w:top w:val="single" w:sz="18" w:space="0" w:color="auto"/>
              <w:right w:val="single" w:sz="18" w:space="0" w:color="auto"/>
            </w:tcBorders>
          </w:tcPr>
          <w:p w:rsidR="00425F65" w:rsidRDefault="00425F65" w:rsidP="00425F65">
            <w:r>
              <w:t>Test taken on Day 0</w:t>
            </w:r>
          </w:p>
        </w:tc>
        <w:tc>
          <w:tcPr>
            <w:tcW w:w="2410" w:type="dxa"/>
            <w:tcBorders>
              <w:top w:val="single" w:sz="18" w:space="0" w:color="auto"/>
              <w:left w:val="single" w:sz="18" w:space="0" w:color="auto"/>
            </w:tcBorders>
            <w:shd w:val="clear" w:color="auto" w:fill="BFBFBF" w:themeFill="background1" w:themeFillShade="BF"/>
          </w:tcPr>
          <w:p w:rsidR="00425F65" w:rsidRDefault="00425F65" w:rsidP="00425F65">
            <w:r>
              <w:t>n/a</w:t>
            </w:r>
          </w:p>
        </w:tc>
        <w:tc>
          <w:tcPr>
            <w:tcW w:w="2410" w:type="dxa"/>
            <w:tcBorders>
              <w:top w:val="single" w:sz="18" w:space="0" w:color="auto"/>
              <w:right w:val="single" w:sz="18" w:space="0" w:color="auto"/>
            </w:tcBorders>
          </w:tcPr>
          <w:p w:rsidR="00425F65" w:rsidRDefault="00425F65" w:rsidP="00425F65">
            <w:r>
              <w:t>Test taken on Day 0</w:t>
            </w:r>
          </w:p>
        </w:tc>
      </w:tr>
      <w:tr w:rsidR="00425F65" w:rsidTr="00425F65">
        <w:tc>
          <w:tcPr>
            <w:tcW w:w="993" w:type="dxa"/>
            <w:tcBorders>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1</w:t>
            </w:r>
          </w:p>
        </w:tc>
        <w:tc>
          <w:tcPr>
            <w:tcW w:w="2409" w:type="dxa"/>
            <w:tcBorders>
              <w:left w:val="single" w:sz="18" w:space="0" w:color="auto"/>
            </w:tcBorders>
          </w:tcPr>
          <w:p w:rsidR="00425F65" w:rsidRDefault="00425F65" w:rsidP="00425F65">
            <w:r>
              <w:t>Work from home where possible. If you have a high temperature or are too unwell to work you should remain at home until well with no high temperature</w:t>
            </w:r>
          </w:p>
        </w:tc>
        <w:tc>
          <w:tcPr>
            <w:tcW w:w="2410" w:type="dxa"/>
            <w:tcBorders>
              <w:right w:val="single" w:sz="18" w:space="0" w:color="auto"/>
            </w:tcBorders>
          </w:tcPr>
          <w:p w:rsidR="00425F65" w:rsidRDefault="00425F65" w:rsidP="00425F65">
            <w:r>
              <w:t>Remain home</w:t>
            </w:r>
          </w:p>
        </w:tc>
        <w:tc>
          <w:tcPr>
            <w:tcW w:w="2410" w:type="dxa"/>
            <w:tcBorders>
              <w:left w:val="single" w:sz="18" w:space="0" w:color="auto"/>
            </w:tcBorders>
          </w:tcPr>
          <w:p w:rsidR="00425F65" w:rsidRDefault="00425F65" w:rsidP="00425F65">
            <w:r>
              <w:t xml:space="preserve">Children with mild symptoms should continue to attend school. </w:t>
            </w:r>
          </w:p>
          <w:p w:rsidR="00425F65" w:rsidRDefault="00425F65" w:rsidP="00425F65">
            <w:r>
              <w:t>Children who are too unwell to be in school or who have a high temperature should remain at home until well with no high temperature</w:t>
            </w:r>
          </w:p>
        </w:tc>
        <w:tc>
          <w:tcPr>
            <w:tcW w:w="2410" w:type="dxa"/>
            <w:tcBorders>
              <w:right w:val="single" w:sz="18" w:space="0" w:color="auto"/>
            </w:tcBorders>
          </w:tcPr>
          <w:p w:rsidR="00425F65" w:rsidRDefault="00425F65" w:rsidP="00425F65">
            <w:r>
              <w:t>Remain home</w:t>
            </w:r>
          </w:p>
        </w:tc>
      </w:tr>
      <w:tr w:rsidR="00425F65" w:rsidTr="00425F65">
        <w:tc>
          <w:tcPr>
            <w:tcW w:w="993" w:type="dxa"/>
            <w:tcBorders>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2</w:t>
            </w:r>
          </w:p>
        </w:tc>
        <w:tc>
          <w:tcPr>
            <w:tcW w:w="2409"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c>
          <w:tcPr>
            <w:tcW w:w="2410"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r>
      <w:tr w:rsidR="00425F65" w:rsidTr="00425F65">
        <w:tc>
          <w:tcPr>
            <w:tcW w:w="993" w:type="dxa"/>
            <w:tcBorders>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3</w:t>
            </w:r>
          </w:p>
        </w:tc>
        <w:tc>
          <w:tcPr>
            <w:tcW w:w="2409"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c>
          <w:tcPr>
            <w:tcW w:w="2410"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r>
      <w:tr w:rsidR="00425F65" w:rsidTr="00425F65">
        <w:tc>
          <w:tcPr>
            <w:tcW w:w="993" w:type="dxa"/>
            <w:tcBorders>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4</w:t>
            </w:r>
          </w:p>
        </w:tc>
        <w:tc>
          <w:tcPr>
            <w:tcW w:w="2409"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c>
          <w:tcPr>
            <w:tcW w:w="2410"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 xml:space="preserve">Return to school UNLESS the child is not well enough to do so OR still has a high temperature. </w:t>
            </w:r>
          </w:p>
          <w:p w:rsidR="00425F65" w:rsidRDefault="00425F65" w:rsidP="00425F65">
            <w:r>
              <w:t>Children can return to school once they are well and have no high temperature</w:t>
            </w:r>
          </w:p>
        </w:tc>
      </w:tr>
      <w:tr w:rsidR="00425F65" w:rsidTr="00425F65">
        <w:tc>
          <w:tcPr>
            <w:tcW w:w="993" w:type="dxa"/>
            <w:tcBorders>
              <w:left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5</w:t>
            </w:r>
          </w:p>
        </w:tc>
        <w:tc>
          <w:tcPr>
            <w:tcW w:w="2409"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Remain home</w:t>
            </w:r>
          </w:p>
        </w:tc>
        <w:tc>
          <w:tcPr>
            <w:tcW w:w="2410" w:type="dxa"/>
            <w:tcBorders>
              <w:left w:val="single" w:sz="18" w:space="0" w:color="auto"/>
            </w:tcBorders>
          </w:tcPr>
          <w:p w:rsidR="00425F65" w:rsidRDefault="00425F65" w:rsidP="00425F65">
            <w:r>
              <w:t>As above</w:t>
            </w:r>
          </w:p>
        </w:tc>
        <w:tc>
          <w:tcPr>
            <w:tcW w:w="2410" w:type="dxa"/>
            <w:tcBorders>
              <w:right w:val="single" w:sz="18" w:space="0" w:color="auto"/>
            </w:tcBorders>
          </w:tcPr>
          <w:p w:rsidR="00425F65" w:rsidRDefault="00425F65" w:rsidP="00425F65">
            <w:r>
              <w:t>As above</w:t>
            </w:r>
          </w:p>
        </w:tc>
      </w:tr>
      <w:tr w:rsidR="00425F65" w:rsidTr="00425F65">
        <w:tc>
          <w:tcPr>
            <w:tcW w:w="993" w:type="dxa"/>
            <w:tcBorders>
              <w:left w:val="single" w:sz="18" w:space="0" w:color="auto"/>
              <w:bottom w:val="single" w:sz="18" w:space="0" w:color="auto"/>
              <w:right w:val="single" w:sz="18" w:space="0" w:color="auto"/>
            </w:tcBorders>
            <w:shd w:val="clear" w:color="auto" w:fill="84ACBC"/>
          </w:tcPr>
          <w:p w:rsidR="00425F65" w:rsidRPr="00A20451" w:rsidRDefault="00425F65" w:rsidP="00425F65">
            <w:pPr>
              <w:rPr>
                <w:b/>
                <w:color w:val="FFFFFF" w:themeColor="background1"/>
              </w:rPr>
            </w:pPr>
            <w:r w:rsidRPr="00A20451">
              <w:rPr>
                <w:b/>
                <w:color w:val="FFFFFF" w:themeColor="background1"/>
              </w:rPr>
              <w:t>Day 6</w:t>
            </w:r>
          </w:p>
        </w:tc>
        <w:tc>
          <w:tcPr>
            <w:tcW w:w="2409" w:type="dxa"/>
            <w:tcBorders>
              <w:left w:val="single" w:sz="18" w:space="0" w:color="auto"/>
              <w:bottom w:val="single" w:sz="18" w:space="0" w:color="auto"/>
            </w:tcBorders>
          </w:tcPr>
          <w:p w:rsidR="00425F65" w:rsidRDefault="00425F65" w:rsidP="00425F65">
            <w:r>
              <w:t>As above</w:t>
            </w:r>
          </w:p>
        </w:tc>
        <w:tc>
          <w:tcPr>
            <w:tcW w:w="2410" w:type="dxa"/>
            <w:tcBorders>
              <w:bottom w:val="single" w:sz="18" w:space="0" w:color="auto"/>
              <w:right w:val="single" w:sz="18" w:space="0" w:color="auto"/>
            </w:tcBorders>
          </w:tcPr>
          <w:p w:rsidR="00425F65" w:rsidRDefault="00425F65" w:rsidP="00425F65">
            <w:r>
              <w:t xml:space="preserve">Resume normal activities UNLESS you are not well enough to do so OR you still have a high temperature. </w:t>
            </w:r>
          </w:p>
          <w:p w:rsidR="00425F65" w:rsidRDefault="00425F65" w:rsidP="00425F65">
            <w:r>
              <w:t>Resume normal activities once you are well and have no high temperature</w:t>
            </w:r>
          </w:p>
        </w:tc>
        <w:tc>
          <w:tcPr>
            <w:tcW w:w="2410" w:type="dxa"/>
            <w:tcBorders>
              <w:left w:val="single" w:sz="18" w:space="0" w:color="auto"/>
              <w:bottom w:val="single" w:sz="18" w:space="0" w:color="auto"/>
            </w:tcBorders>
          </w:tcPr>
          <w:p w:rsidR="00425F65" w:rsidRDefault="00425F65" w:rsidP="00425F65">
            <w:r>
              <w:t>As above</w:t>
            </w:r>
          </w:p>
        </w:tc>
        <w:tc>
          <w:tcPr>
            <w:tcW w:w="2410" w:type="dxa"/>
            <w:tcBorders>
              <w:bottom w:val="single" w:sz="18" w:space="0" w:color="auto"/>
              <w:right w:val="single" w:sz="18" w:space="0" w:color="auto"/>
            </w:tcBorders>
          </w:tcPr>
          <w:p w:rsidR="00425F65" w:rsidRDefault="00425F65" w:rsidP="00425F65">
            <w:r>
              <w:t>As above</w:t>
            </w:r>
          </w:p>
        </w:tc>
      </w:tr>
    </w:tbl>
    <w:p w:rsidR="008F277F" w:rsidRDefault="008F277F"/>
    <w:p w:rsidR="008F277F" w:rsidRDefault="008F277F"/>
    <w:p w:rsidR="008F277F" w:rsidRDefault="008F277F"/>
    <w:p w:rsidR="008F277F" w:rsidRDefault="008F277F"/>
    <w:sectPr w:rsidR="008F277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451" w:rsidRDefault="00A20451" w:rsidP="00A20451">
      <w:pPr>
        <w:spacing w:after="0" w:line="240" w:lineRule="auto"/>
      </w:pPr>
      <w:r>
        <w:separator/>
      </w:r>
    </w:p>
  </w:endnote>
  <w:endnote w:type="continuationSeparator" w:id="0">
    <w:p w:rsidR="00A20451" w:rsidRDefault="00A20451" w:rsidP="00A2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451" w:rsidRDefault="00A20451" w:rsidP="00A20451">
      <w:pPr>
        <w:spacing w:after="0" w:line="240" w:lineRule="auto"/>
      </w:pPr>
      <w:r>
        <w:separator/>
      </w:r>
    </w:p>
  </w:footnote>
  <w:footnote w:type="continuationSeparator" w:id="0">
    <w:p w:rsidR="00A20451" w:rsidRDefault="00A20451" w:rsidP="00A2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451" w:rsidRDefault="00A20451">
    <w:pPr>
      <w:pStyle w:val="Header"/>
    </w:pPr>
    <w:r>
      <w:rPr>
        <w:noProof/>
        <w:lang w:eastAsia="en-GB"/>
      </w:rPr>
      <w:drawing>
        <wp:anchor distT="0" distB="0" distL="114300" distR="114300" simplePos="0" relativeHeight="251658240" behindDoc="1" locked="0" layoutInCell="1" allowOverlap="1">
          <wp:simplePos x="0" y="0"/>
          <wp:positionH relativeFrom="column">
            <wp:posOffset>4443878</wp:posOffset>
          </wp:positionH>
          <wp:positionV relativeFrom="paragraph">
            <wp:posOffset>-366616</wp:posOffset>
          </wp:positionV>
          <wp:extent cx="1896745" cy="829945"/>
          <wp:effectExtent l="0" t="0" r="8255" b="8255"/>
          <wp:wrapTight wrapText="bothSides">
            <wp:wrapPolygon edited="0">
              <wp:start x="0" y="0"/>
              <wp:lineTo x="0" y="21319"/>
              <wp:lineTo x="21477" y="21319"/>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ton-academy-trust-logo-standard-blue-noslogan.jpg"/>
                  <pic:cNvPicPr/>
                </pic:nvPicPr>
                <pic:blipFill>
                  <a:blip r:embed="rId1">
                    <a:extLst>
                      <a:ext uri="{28A0092B-C50C-407E-A947-70E740481C1C}">
                        <a14:useLocalDpi xmlns:a14="http://schemas.microsoft.com/office/drawing/2010/main" val="0"/>
                      </a:ext>
                    </a:extLst>
                  </a:blip>
                  <a:stretch>
                    <a:fillRect/>
                  </a:stretch>
                </pic:blipFill>
                <pic:spPr>
                  <a:xfrm>
                    <a:off x="0" y="0"/>
                    <a:ext cx="1896745" cy="829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03D8B"/>
    <w:multiLevelType w:val="hybridMultilevel"/>
    <w:tmpl w:val="7768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7F"/>
    <w:rsid w:val="00005217"/>
    <w:rsid w:val="0009238C"/>
    <w:rsid w:val="00094C98"/>
    <w:rsid w:val="00282204"/>
    <w:rsid w:val="00425F65"/>
    <w:rsid w:val="008F277F"/>
    <w:rsid w:val="00A20451"/>
    <w:rsid w:val="00C26F35"/>
    <w:rsid w:val="00EF7375"/>
    <w:rsid w:val="00FD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1CC7C05-5794-48E8-8BAD-4D464C11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451"/>
  </w:style>
  <w:style w:type="paragraph" w:styleId="Footer">
    <w:name w:val="footer"/>
    <w:basedOn w:val="Normal"/>
    <w:link w:val="FooterChar"/>
    <w:uiPriority w:val="99"/>
    <w:unhideWhenUsed/>
    <w:rsid w:val="00A2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451"/>
  </w:style>
  <w:style w:type="character" w:styleId="Hyperlink">
    <w:name w:val="Hyperlink"/>
    <w:rsid w:val="00A20451"/>
    <w:rPr>
      <w:color w:val="0000FF"/>
      <w:u w:val="single"/>
    </w:rPr>
  </w:style>
  <w:style w:type="paragraph" w:styleId="NormalWeb">
    <w:name w:val="Normal (Web)"/>
    <w:basedOn w:val="Normal"/>
    <w:uiPriority w:val="99"/>
    <w:unhideWhenUsed/>
    <w:rsid w:val="00A20451"/>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Spacing">
    <w:name w:val="No Spacing"/>
    <w:uiPriority w:val="1"/>
    <w:qFormat/>
    <w:rsid w:val="00A20451"/>
    <w:pPr>
      <w:spacing w:after="0" w:line="240" w:lineRule="auto"/>
    </w:pPr>
    <w:rPr>
      <w:rFonts w:ascii="Calibri" w:eastAsia="Calibri" w:hAnsi="Calibri" w:cs="Calibri"/>
      <w:b/>
      <w:color w:val="000000"/>
      <w:sz w:val="28"/>
      <w:lang w:eastAsia="en-GB"/>
    </w:rPr>
  </w:style>
  <w:style w:type="paragraph" w:styleId="ListParagraph">
    <w:name w:val="List Paragraph"/>
    <w:basedOn w:val="Normal"/>
    <w:uiPriority w:val="34"/>
    <w:qFormat/>
    <w:rsid w:val="00092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testing/get-tested-for-coronavirus/" TargetMode="External"/><Relationship Id="rId3" Type="http://schemas.openxmlformats.org/officeDocument/2006/relationships/settings" Target="settings.xml"/><Relationship Id="rId7" Type="http://schemas.openxmlformats.org/officeDocument/2006/relationships/hyperlink" Target="https://www.gov.uk/guidance/people-with-symptoms-of-a-respiratory-infection-including-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Elanor Davies</dc:creator>
  <cp:keywords/>
  <dc:description/>
  <cp:lastModifiedBy>EmmaBlakeway</cp:lastModifiedBy>
  <cp:revision>2</cp:revision>
  <dcterms:created xsi:type="dcterms:W3CDTF">2022-04-01T13:53:00Z</dcterms:created>
  <dcterms:modified xsi:type="dcterms:W3CDTF">2022-04-01T13:53:00Z</dcterms:modified>
</cp:coreProperties>
</file>